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2A05" w14:textId="77777777" w:rsidR="00EC73D7" w:rsidRPr="0003219D" w:rsidRDefault="00000000">
      <w:pPr>
        <w:pStyle w:val="Heading1"/>
        <w:rPr>
          <w:rFonts w:ascii="Arial" w:hAnsi="Arial" w:cs="Arial"/>
        </w:rPr>
      </w:pPr>
      <w:bookmarkStart w:id="0" w:name="billing-rfp-criteria-requirements-guide"/>
      <w:r w:rsidRPr="0003219D">
        <w:rPr>
          <w:rFonts w:ascii="Arial" w:hAnsi="Arial" w:cs="Arial"/>
        </w:rPr>
        <w:t>Billing RFP criteria &amp; requirements guide</w:t>
      </w:r>
    </w:p>
    <w:p w14:paraId="1FC4CFE5" w14:textId="1BBF207B" w:rsidR="00EC73D7" w:rsidRPr="0003219D" w:rsidRDefault="00000000">
      <w:pPr>
        <w:pStyle w:val="FirstParagraph"/>
        <w:rPr>
          <w:rFonts w:ascii="Arial" w:hAnsi="Arial" w:cs="Arial"/>
          <w:i/>
          <w:iCs/>
        </w:rPr>
      </w:pPr>
      <w:r w:rsidRPr="0003219D">
        <w:rPr>
          <w:rFonts w:ascii="Arial" w:hAnsi="Arial" w:cs="Arial"/>
          <w:i/>
          <w:iCs/>
        </w:rPr>
        <w:t xml:space="preserve">An internal planning </w:t>
      </w:r>
      <w:r w:rsidR="00B442B8" w:rsidRPr="0003219D">
        <w:rPr>
          <w:rFonts w:ascii="Arial" w:hAnsi="Arial" w:cs="Arial"/>
          <w:i/>
          <w:iCs/>
        </w:rPr>
        <w:t>tool</w:t>
      </w:r>
      <w:r w:rsidRPr="0003219D">
        <w:rPr>
          <w:rFonts w:ascii="Arial" w:hAnsi="Arial" w:cs="Arial"/>
          <w:i/>
          <w:iCs/>
        </w:rPr>
        <w:t xml:space="preserve"> for evaluating billing system</w:t>
      </w:r>
      <w:r w:rsidR="009D0E82" w:rsidRPr="0003219D">
        <w:rPr>
          <w:rFonts w:ascii="Arial" w:hAnsi="Arial" w:cs="Arial"/>
          <w:i/>
          <w:iCs/>
        </w:rPr>
        <w:t>s</w:t>
      </w:r>
    </w:p>
    <w:p w14:paraId="5C684201" w14:textId="77777777" w:rsidR="00EC73D7" w:rsidRPr="0003219D" w:rsidRDefault="00000000">
      <w:pPr>
        <w:pStyle w:val="Heading2"/>
        <w:rPr>
          <w:rFonts w:ascii="Arial" w:hAnsi="Arial" w:cs="Arial"/>
        </w:rPr>
      </w:pPr>
      <w:bookmarkStart w:id="1" w:name="document-purpose"/>
      <w:r w:rsidRPr="0003219D">
        <w:rPr>
          <w:rFonts w:ascii="Arial" w:hAnsi="Arial" w:cs="Arial"/>
        </w:rPr>
        <w:t>Document purpose</w:t>
      </w:r>
    </w:p>
    <w:p w14:paraId="264B960D" w14:textId="413CF022" w:rsidR="00EC73D7" w:rsidRPr="0003219D" w:rsidRDefault="00000000" w:rsidP="00835036">
      <w:pPr>
        <w:pStyle w:val="FirstParagraph"/>
        <w:rPr>
          <w:rFonts w:ascii="Arial" w:hAnsi="Arial" w:cs="Arial"/>
        </w:rPr>
      </w:pPr>
      <w:r w:rsidRPr="0003219D">
        <w:rPr>
          <w:rFonts w:ascii="Arial" w:hAnsi="Arial" w:cs="Arial"/>
        </w:rPr>
        <w:t xml:space="preserve">This document helps internal teams define </w:t>
      </w:r>
      <w:r w:rsidR="00835036" w:rsidRPr="0003219D">
        <w:rPr>
          <w:rFonts w:ascii="Arial" w:hAnsi="Arial" w:cs="Arial"/>
        </w:rPr>
        <w:t xml:space="preserve">and document their </w:t>
      </w:r>
      <w:r w:rsidRPr="0003219D">
        <w:rPr>
          <w:rFonts w:ascii="Arial" w:hAnsi="Arial" w:cs="Arial"/>
        </w:rPr>
        <w:t xml:space="preserve">requirements </w:t>
      </w:r>
      <w:r w:rsidR="00835036" w:rsidRPr="0003219D">
        <w:rPr>
          <w:rFonts w:ascii="Arial" w:hAnsi="Arial" w:cs="Arial"/>
        </w:rPr>
        <w:t xml:space="preserve">for a billing system. </w:t>
      </w:r>
      <w:r w:rsidRPr="0003219D">
        <w:rPr>
          <w:rFonts w:ascii="Arial" w:hAnsi="Arial" w:cs="Arial"/>
        </w:rPr>
        <w:t xml:space="preserve">It outlines common billing use cases, decision criteria and technical considerations often overlooked or underspecified. </w:t>
      </w:r>
      <w:r w:rsidR="00835036" w:rsidRPr="0003219D">
        <w:rPr>
          <w:rFonts w:ascii="Arial" w:hAnsi="Arial" w:cs="Arial"/>
        </w:rPr>
        <w:t xml:space="preserve">It is intended to aid in vendor evaluations with a specific focus on avoiding </w:t>
      </w:r>
      <w:r w:rsidRPr="0003219D">
        <w:rPr>
          <w:rFonts w:ascii="Arial" w:hAnsi="Arial" w:cs="Arial"/>
        </w:rPr>
        <w:t xml:space="preserve">system limitations </w:t>
      </w:r>
      <w:r w:rsidR="00835036" w:rsidRPr="0003219D">
        <w:rPr>
          <w:rFonts w:ascii="Arial" w:hAnsi="Arial" w:cs="Arial"/>
        </w:rPr>
        <w:t xml:space="preserve">that </w:t>
      </w:r>
      <w:r w:rsidRPr="0003219D">
        <w:rPr>
          <w:rFonts w:ascii="Arial" w:hAnsi="Arial" w:cs="Arial"/>
        </w:rPr>
        <w:t xml:space="preserve">can introduce </w:t>
      </w:r>
      <w:r w:rsidR="00835036" w:rsidRPr="0003219D">
        <w:rPr>
          <w:rFonts w:ascii="Arial" w:hAnsi="Arial" w:cs="Arial"/>
        </w:rPr>
        <w:t xml:space="preserve">unnecessary </w:t>
      </w:r>
      <w:r w:rsidRPr="0003219D">
        <w:rPr>
          <w:rFonts w:ascii="Arial" w:hAnsi="Arial" w:cs="Arial"/>
        </w:rPr>
        <w:t xml:space="preserve">manual effort, delays, </w:t>
      </w:r>
      <w:r w:rsidR="009D0E82" w:rsidRPr="0003219D">
        <w:rPr>
          <w:rFonts w:ascii="Arial" w:hAnsi="Arial" w:cs="Arial"/>
        </w:rPr>
        <w:t xml:space="preserve">reconciliation issues or </w:t>
      </w:r>
      <w:r w:rsidRPr="0003219D">
        <w:rPr>
          <w:rFonts w:ascii="Arial" w:hAnsi="Arial" w:cs="Arial"/>
        </w:rPr>
        <w:t>operational cost</w:t>
      </w:r>
      <w:r w:rsidR="009D0E82" w:rsidRPr="0003219D">
        <w:rPr>
          <w:rFonts w:ascii="Arial" w:hAnsi="Arial" w:cs="Arial"/>
        </w:rPr>
        <w:t>s</w:t>
      </w:r>
      <w:r w:rsidRPr="0003219D">
        <w:rPr>
          <w:rFonts w:ascii="Arial" w:hAnsi="Arial" w:cs="Arial"/>
        </w:rPr>
        <w:t>.</w:t>
      </w:r>
    </w:p>
    <w:p w14:paraId="3CC825EC" w14:textId="77777777" w:rsidR="00EC73D7" w:rsidRPr="0003219D" w:rsidRDefault="00000000">
      <w:pPr>
        <w:pStyle w:val="Heading2"/>
        <w:rPr>
          <w:rFonts w:ascii="Arial" w:hAnsi="Arial" w:cs="Arial"/>
        </w:rPr>
      </w:pPr>
      <w:bookmarkStart w:id="2" w:name="scope-of-this-document"/>
      <w:bookmarkEnd w:id="1"/>
      <w:r w:rsidRPr="0003219D">
        <w:rPr>
          <w:rFonts w:ascii="Arial" w:hAnsi="Arial" w:cs="Arial"/>
        </w:rPr>
        <w:t>Scope of this document</w:t>
      </w:r>
    </w:p>
    <w:p w14:paraId="4B7DE47C" w14:textId="2E764835" w:rsidR="009D0E82" w:rsidRPr="0003219D" w:rsidRDefault="00000000">
      <w:pPr>
        <w:pStyle w:val="FirstParagraph"/>
        <w:rPr>
          <w:rFonts w:ascii="Arial" w:hAnsi="Arial" w:cs="Arial"/>
        </w:rPr>
      </w:pPr>
      <w:r w:rsidRPr="0003219D">
        <w:rPr>
          <w:rFonts w:ascii="Arial" w:hAnsi="Arial" w:cs="Arial"/>
        </w:rPr>
        <w:t>This document includes requirements relevant to the following billing models</w:t>
      </w:r>
      <w:r w:rsidR="009D0E82" w:rsidRPr="0003219D">
        <w:rPr>
          <w:rFonts w:ascii="Arial" w:hAnsi="Arial" w:cs="Arial"/>
        </w:rPr>
        <w:t xml:space="preserve"> and </w:t>
      </w:r>
      <w:r w:rsidR="00835036" w:rsidRPr="0003219D">
        <w:rPr>
          <w:rFonts w:ascii="Arial" w:hAnsi="Arial" w:cs="Arial"/>
        </w:rPr>
        <w:t>scenarios</w:t>
      </w:r>
      <w:r w:rsidRPr="0003219D">
        <w:rPr>
          <w:rFonts w:ascii="Arial" w:hAnsi="Arial" w:cs="Arial"/>
        </w:rPr>
        <w:t xml:space="preserve">: </w:t>
      </w:r>
    </w:p>
    <w:p w14:paraId="2F34A0FB" w14:textId="111097C6" w:rsidR="009D0E82" w:rsidRPr="0003219D" w:rsidRDefault="00000000" w:rsidP="009D0E82">
      <w:pPr>
        <w:pStyle w:val="Compact"/>
        <w:numPr>
          <w:ilvl w:val="0"/>
          <w:numId w:val="2"/>
        </w:numPr>
        <w:rPr>
          <w:rFonts w:ascii="Arial" w:hAnsi="Arial" w:cs="Arial"/>
        </w:rPr>
      </w:pPr>
      <w:r w:rsidRPr="0003219D">
        <w:rPr>
          <w:rFonts w:ascii="Arial" w:hAnsi="Arial" w:cs="Arial"/>
        </w:rPr>
        <w:t>Recurring fixed</w:t>
      </w:r>
      <w:r w:rsidRPr="0003219D">
        <w:rPr>
          <w:rFonts w:ascii="Cambria Math" w:hAnsi="Cambria Math" w:cs="Cambria Math"/>
        </w:rPr>
        <w:t>‑</w:t>
      </w:r>
      <w:r w:rsidRPr="0003219D">
        <w:rPr>
          <w:rFonts w:ascii="Arial" w:hAnsi="Arial" w:cs="Arial"/>
        </w:rPr>
        <w:t>fee subscriptions</w:t>
      </w:r>
    </w:p>
    <w:p w14:paraId="71AB6E49"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Usage</w:t>
      </w:r>
      <w:r w:rsidRPr="0003219D">
        <w:rPr>
          <w:rFonts w:ascii="Cambria Math" w:hAnsi="Cambria Math" w:cs="Cambria Math"/>
        </w:rPr>
        <w:t>‑</w:t>
      </w:r>
      <w:r w:rsidRPr="0003219D">
        <w:rPr>
          <w:rFonts w:ascii="Arial" w:hAnsi="Arial" w:cs="Arial"/>
        </w:rPr>
        <w:t>based pricing (including tiered, volume and pooled models)</w:t>
      </w:r>
    </w:p>
    <w:p w14:paraId="46842C21"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One</w:t>
      </w:r>
      <w:r w:rsidRPr="0003219D">
        <w:rPr>
          <w:rFonts w:ascii="Cambria Math" w:hAnsi="Cambria Math" w:cs="Cambria Math"/>
        </w:rPr>
        <w:t>‑</w:t>
      </w:r>
      <w:r w:rsidRPr="0003219D">
        <w:rPr>
          <w:rFonts w:ascii="Arial" w:hAnsi="Arial" w:cs="Arial"/>
        </w:rPr>
        <w:t xml:space="preserve">time and milestone billing </w:t>
      </w:r>
    </w:p>
    <w:p w14:paraId="2F796664"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Hybrid billing (combinations of the above)</w:t>
      </w:r>
    </w:p>
    <w:p w14:paraId="55314EBA"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Contract amendments and renewals</w:t>
      </w:r>
    </w:p>
    <w:p w14:paraId="0484BEE7"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Revenue recognition mapping and automation</w:t>
      </w:r>
    </w:p>
    <w:p w14:paraId="6563A739" w14:textId="535F27BF" w:rsidR="00EC73D7" w:rsidRPr="0003219D" w:rsidRDefault="00000000" w:rsidP="009D0E82">
      <w:pPr>
        <w:pStyle w:val="Compact"/>
        <w:numPr>
          <w:ilvl w:val="0"/>
          <w:numId w:val="2"/>
        </w:numPr>
        <w:rPr>
          <w:rFonts w:ascii="Arial" w:hAnsi="Arial" w:cs="Arial"/>
        </w:rPr>
      </w:pPr>
      <w:r w:rsidRPr="0003219D">
        <w:rPr>
          <w:rFonts w:ascii="Arial" w:hAnsi="Arial" w:cs="Arial"/>
        </w:rPr>
        <w:t>Integration with CRM, CPQ and external systems</w:t>
      </w:r>
    </w:p>
    <w:p w14:paraId="3B132367" w14:textId="2AD48FF0" w:rsidR="00EC73D7" w:rsidRPr="0003219D" w:rsidRDefault="009D0E82">
      <w:pPr>
        <w:pStyle w:val="BodyText"/>
        <w:rPr>
          <w:rFonts w:ascii="Arial" w:hAnsi="Arial" w:cs="Arial"/>
        </w:rPr>
      </w:pPr>
      <w:r w:rsidRPr="0003219D">
        <w:rPr>
          <w:rFonts w:ascii="Arial" w:hAnsi="Arial" w:cs="Arial"/>
        </w:rPr>
        <w:t>It does not define implementation methodologies, resourcing needs or project timelines. Those considerations should be addressed separately once a preferred solution is selected.</w:t>
      </w:r>
    </w:p>
    <w:p w14:paraId="6841FD42" w14:textId="77777777" w:rsidR="00EC73D7" w:rsidRPr="0003219D" w:rsidRDefault="00000000">
      <w:pPr>
        <w:pStyle w:val="Heading2"/>
        <w:rPr>
          <w:rFonts w:ascii="Arial" w:hAnsi="Arial" w:cs="Arial"/>
        </w:rPr>
      </w:pPr>
      <w:bookmarkStart w:id="3" w:name="intended-audience"/>
      <w:bookmarkEnd w:id="2"/>
      <w:r w:rsidRPr="0003219D">
        <w:rPr>
          <w:rFonts w:ascii="Arial" w:hAnsi="Arial" w:cs="Arial"/>
        </w:rPr>
        <w:t>Intended audience</w:t>
      </w:r>
    </w:p>
    <w:p w14:paraId="469DBAD2" w14:textId="77777777" w:rsidR="00EC73D7" w:rsidRPr="0003219D" w:rsidRDefault="00000000">
      <w:pPr>
        <w:pStyle w:val="Compact"/>
        <w:numPr>
          <w:ilvl w:val="0"/>
          <w:numId w:val="2"/>
        </w:numPr>
        <w:rPr>
          <w:rFonts w:ascii="Arial" w:hAnsi="Arial" w:cs="Arial"/>
        </w:rPr>
      </w:pPr>
      <w:r w:rsidRPr="0003219D">
        <w:rPr>
          <w:rFonts w:ascii="Arial" w:hAnsi="Arial" w:cs="Arial"/>
        </w:rPr>
        <w:t>Finance and accounting leadership</w:t>
      </w:r>
    </w:p>
    <w:p w14:paraId="2C14EF12" w14:textId="77777777" w:rsidR="00EC73D7" w:rsidRPr="0003219D" w:rsidRDefault="00000000">
      <w:pPr>
        <w:pStyle w:val="Compact"/>
        <w:numPr>
          <w:ilvl w:val="0"/>
          <w:numId w:val="2"/>
        </w:numPr>
        <w:rPr>
          <w:rFonts w:ascii="Arial" w:hAnsi="Arial" w:cs="Arial"/>
        </w:rPr>
      </w:pPr>
      <w:r w:rsidRPr="0003219D">
        <w:rPr>
          <w:rFonts w:ascii="Arial" w:hAnsi="Arial" w:cs="Arial"/>
        </w:rPr>
        <w:t>Revenue operations and quote</w:t>
      </w:r>
      <w:r w:rsidRPr="0003219D">
        <w:rPr>
          <w:rFonts w:ascii="Cambria Math" w:hAnsi="Cambria Math" w:cs="Cambria Math"/>
        </w:rPr>
        <w:t>‑</w:t>
      </w:r>
      <w:r w:rsidRPr="0003219D">
        <w:rPr>
          <w:rFonts w:ascii="Arial" w:hAnsi="Arial" w:cs="Arial"/>
        </w:rPr>
        <w:t>to</w:t>
      </w:r>
      <w:r w:rsidRPr="0003219D">
        <w:rPr>
          <w:rFonts w:ascii="Cambria Math" w:hAnsi="Cambria Math" w:cs="Cambria Math"/>
        </w:rPr>
        <w:t>‑</w:t>
      </w:r>
      <w:r w:rsidRPr="0003219D">
        <w:rPr>
          <w:rFonts w:ascii="Arial" w:hAnsi="Arial" w:cs="Arial"/>
        </w:rPr>
        <w:t>cash process owners</w:t>
      </w:r>
    </w:p>
    <w:p w14:paraId="3A2444C7" w14:textId="77777777" w:rsidR="00EC73D7" w:rsidRPr="0003219D" w:rsidRDefault="00000000">
      <w:pPr>
        <w:pStyle w:val="Compact"/>
        <w:numPr>
          <w:ilvl w:val="0"/>
          <w:numId w:val="2"/>
        </w:numPr>
        <w:rPr>
          <w:rFonts w:ascii="Arial" w:hAnsi="Arial" w:cs="Arial"/>
        </w:rPr>
      </w:pPr>
      <w:r w:rsidRPr="0003219D">
        <w:rPr>
          <w:rFonts w:ascii="Arial" w:hAnsi="Arial" w:cs="Arial"/>
        </w:rPr>
        <w:t>IT or systems teams responsible for ERP and billing integration</w:t>
      </w:r>
    </w:p>
    <w:p w14:paraId="1C6F6BD3" w14:textId="77777777" w:rsidR="00EC73D7" w:rsidRPr="0003219D" w:rsidRDefault="00000000">
      <w:pPr>
        <w:pStyle w:val="Compact"/>
        <w:numPr>
          <w:ilvl w:val="0"/>
          <w:numId w:val="2"/>
        </w:numPr>
        <w:rPr>
          <w:rFonts w:ascii="Arial" w:hAnsi="Arial" w:cs="Arial"/>
        </w:rPr>
      </w:pPr>
      <w:r w:rsidRPr="0003219D">
        <w:rPr>
          <w:rFonts w:ascii="Arial" w:hAnsi="Arial" w:cs="Arial"/>
        </w:rPr>
        <w:t>Procurement or vendor management stakeholders</w:t>
      </w:r>
    </w:p>
    <w:p w14:paraId="798835D8" w14:textId="77777777" w:rsidR="00EC73D7" w:rsidRPr="0003219D" w:rsidRDefault="00000000">
      <w:pPr>
        <w:pStyle w:val="Compact"/>
        <w:numPr>
          <w:ilvl w:val="0"/>
          <w:numId w:val="2"/>
        </w:numPr>
        <w:rPr>
          <w:rFonts w:ascii="Arial" w:hAnsi="Arial" w:cs="Arial"/>
        </w:rPr>
      </w:pPr>
      <w:r w:rsidRPr="0003219D">
        <w:rPr>
          <w:rFonts w:ascii="Arial" w:hAnsi="Arial" w:cs="Arial"/>
        </w:rPr>
        <w:t>External consultants supporting technology selection or implementation</w:t>
      </w:r>
    </w:p>
    <w:p w14:paraId="7986A882" w14:textId="77777777" w:rsidR="00EC73D7" w:rsidRPr="0003219D" w:rsidRDefault="00000000">
      <w:pPr>
        <w:pStyle w:val="Heading2"/>
        <w:rPr>
          <w:rFonts w:ascii="Arial" w:hAnsi="Arial" w:cs="Arial"/>
        </w:rPr>
      </w:pPr>
      <w:bookmarkStart w:id="4" w:name="how-to-use-this-document"/>
      <w:bookmarkEnd w:id="3"/>
      <w:r w:rsidRPr="0003219D">
        <w:rPr>
          <w:rFonts w:ascii="Arial" w:hAnsi="Arial" w:cs="Arial"/>
        </w:rPr>
        <w:t>How to use this document</w:t>
      </w:r>
    </w:p>
    <w:p w14:paraId="5A78F9CE" w14:textId="77777777" w:rsidR="009D0E82" w:rsidRPr="0003219D" w:rsidRDefault="00000000">
      <w:pPr>
        <w:pStyle w:val="FirstParagraph"/>
        <w:rPr>
          <w:rFonts w:ascii="Arial" w:hAnsi="Arial" w:cs="Arial"/>
        </w:rPr>
      </w:pPr>
      <w:r w:rsidRPr="0003219D">
        <w:rPr>
          <w:rFonts w:ascii="Arial" w:hAnsi="Arial" w:cs="Arial"/>
        </w:rPr>
        <w:t xml:space="preserve">The content is organized by billing capability area. Each section includes: </w:t>
      </w:r>
    </w:p>
    <w:p w14:paraId="376FF1C0"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A brief section overview highlighting the capability, billing scenario or process</w:t>
      </w:r>
    </w:p>
    <w:p w14:paraId="272FA08B"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Functional requirements written in plain, operational language</w:t>
      </w:r>
    </w:p>
    <w:p w14:paraId="2E11DDE5" w14:textId="77777777" w:rsidR="009D0E82" w:rsidRPr="0003219D" w:rsidRDefault="00000000" w:rsidP="009D0E82">
      <w:pPr>
        <w:pStyle w:val="Compact"/>
        <w:numPr>
          <w:ilvl w:val="0"/>
          <w:numId w:val="2"/>
        </w:numPr>
        <w:rPr>
          <w:rFonts w:ascii="Arial" w:hAnsi="Arial" w:cs="Arial"/>
        </w:rPr>
      </w:pPr>
      <w:r w:rsidRPr="0003219D">
        <w:rPr>
          <w:rFonts w:ascii="Arial" w:hAnsi="Arial" w:cs="Arial"/>
        </w:rPr>
        <w:t>Considerations that may require further validation during vendor evaluation</w:t>
      </w:r>
    </w:p>
    <w:p w14:paraId="3DFB8BF9" w14:textId="41E29F9B" w:rsidR="00EC73D7" w:rsidRPr="0003219D" w:rsidRDefault="00000000" w:rsidP="009D0E82">
      <w:pPr>
        <w:pStyle w:val="Compact"/>
        <w:numPr>
          <w:ilvl w:val="0"/>
          <w:numId w:val="2"/>
        </w:numPr>
        <w:rPr>
          <w:rFonts w:ascii="Arial" w:hAnsi="Arial" w:cs="Arial"/>
        </w:rPr>
      </w:pPr>
      <w:r w:rsidRPr="0003219D">
        <w:rPr>
          <w:rFonts w:ascii="Arial" w:hAnsi="Arial" w:cs="Arial"/>
        </w:rPr>
        <w:t>An open field for a vendor response</w:t>
      </w:r>
    </w:p>
    <w:p w14:paraId="763595F6" w14:textId="6343A35A" w:rsidR="00EC73D7" w:rsidRPr="0003219D" w:rsidRDefault="00000000" w:rsidP="009D0E82">
      <w:pPr>
        <w:pStyle w:val="BodyText"/>
        <w:spacing w:before="100" w:beforeAutospacing="1"/>
        <w:rPr>
          <w:rFonts w:ascii="Arial" w:hAnsi="Arial" w:cs="Arial"/>
        </w:rPr>
      </w:pPr>
      <w:r w:rsidRPr="0003219D">
        <w:rPr>
          <w:rFonts w:ascii="Arial" w:hAnsi="Arial" w:cs="Arial"/>
        </w:rPr>
        <w:lastRenderedPageBreak/>
        <w:t xml:space="preserve">This document can be used as a standalone business requirements guide or incorporated into a formal RFP process. </w:t>
      </w:r>
      <w:r w:rsidR="00835036" w:rsidRPr="0003219D">
        <w:rPr>
          <w:rFonts w:ascii="Arial" w:hAnsi="Arial" w:cs="Arial"/>
        </w:rPr>
        <w:t>Any topics or sections that are not applicable may be deleted or left blank. Note that v</w:t>
      </w:r>
      <w:r w:rsidRPr="0003219D">
        <w:rPr>
          <w:rFonts w:ascii="Arial" w:hAnsi="Arial" w:cs="Arial"/>
        </w:rPr>
        <w:t>endor names and commercial language have been deliberately excluded.</w:t>
      </w:r>
    </w:p>
    <w:p w14:paraId="00C6FBA7" w14:textId="77777777" w:rsidR="00EC73D7" w:rsidRPr="0003219D" w:rsidRDefault="00000000" w:rsidP="00835036">
      <w:pPr>
        <w:pStyle w:val="Heading2"/>
        <w:spacing w:after="240"/>
        <w:rPr>
          <w:rFonts w:ascii="Arial" w:hAnsi="Arial" w:cs="Arial"/>
        </w:rPr>
      </w:pPr>
      <w:bookmarkStart w:id="5" w:name="project-information"/>
      <w:bookmarkEnd w:id="4"/>
      <w:r w:rsidRPr="0003219D">
        <w:rPr>
          <w:rFonts w:ascii="Arial" w:hAnsi="Arial" w:cs="Arial"/>
        </w:rPr>
        <w:t>Project information</w:t>
      </w:r>
    </w:p>
    <w:p w14:paraId="583815C5" w14:textId="77777777" w:rsidR="00EC73D7" w:rsidRPr="0003219D" w:rsidRDefault="00000000">
      <w:pPr>
        <w:pStyle w:val="Compact"/>
        <w:numPr>
          <w:ilvl w:val="0"/>
          <w:numId w:val="3"/>
        </w:numPr>
        <w:rPr>
          <w:rFonts w:ascii="Arial" w:hAnsi="Arial" w:cs="Arial"/>
        </w:rPr>
      </w:pPr>
      <w:r w:rsidRPr="0003219D">
        <w:rPr>
          <w:rFonts w:ascii="Arial" w:hAnsi="Arial" w:cs="Arial"/>
        </w:rPr>
        <w:t>Prepared by [Insert team or department]</w:t>
      </w:r>
    </w:p>
    <w:p w14:paraId="7AA81814" w14:textId="77777777" w:rsidR="00EC73D7" w:rsidRPr="0003219D" w:rsidRDefault="00000000">
      <w:pPr>
        <w:pStyle w:val="Compact"/>
        <w:numPr>
          <w:ilvl w:val="0"/>
          <w:numId w:val="3"/>
        </w:numPr>
        <w:rPr>
          <w:rFonts w:ascii="Arial" w:hAnsi="Arial" w:cs="Arial"/>
        </w:rPr>
      </w:pPr>
      <w:r w:rsidRPr="0003219D">
        <w:rPr>
          <w:rFonts w:ascii="Arial" w:hAnsi="Arial" w:cs="Arial"/>
        </w:rPr>
        <w:t>Project name [e.g. Billing Transformation, QTC Modernization]</w:t>
      </w:r>
    </w:p>
    <w:p w14:paraId="1DB0BE97" w14:textId="77777777" w:rsidR="00EC73D7" w:rsidRPr="0003219D" w:rsidRDefault="00000000">
      <w:pPr>
        <w:pStyle w:val="Compact"/>
        <w:numPr>
          <w:ilvl w:val="0"/>
          <w:numId w:val="3"/>
        </w:numPr>
        <w:rPr>
          <w:rFonts w:ascii="Arial" w:hAnsi="Arial" w:cs="Arial"/>
        </w:rPr>
      </w:pPr>
      <w:r w:rsidRPr="0003219D">
        <w:rPr>
          <w:rFonts w:ascii="Arial" w:hAnsi="Arial" w:cs="Arial"/>
        </w:rPr>
        <w:t>Date [Insert date]</w:t>
      </w:r>
    </w:p>
    <w:p w14:paraId="208C5C22" w14:textId="77777777" w:rsidR="00EC73D7" w:rsidRPr="0003219D" w:rsidRDefault="00000000">
      <w:pPr>
        <w:pStyle w:val="Compact"/>
        <w:numPr>
          <w:ilvl w:val="0"/>
          <w:numId w:val="3"/>
        </w:numPr>
        <w:rPr>
          <w:rFonts w:ascii="Arial" w:hAnsi="Arial" w:cs="Arial"/>
        </w:rPr>
      </w:pPr>
      <w:r w:rsidRPr="0003219D">
        <w:rPr>
          <w:rFonts w:ascii="Arial" w:hAnsi="Arial" w:cs="Arial"/>
        </w:rPr>
        <w:t>Document version [e.g. v1.0]</w:t>
      </w:r>
    </w:p>
    <w:p w14:paraId="43B73D72" w14:textId="77777777" w:rsidR="00EC73D7" w:rsidRPr="0003219D" w:rsidRDefault="00000000">
      <w:pPr>
        <w:pStyle w:val="Compact"/>
        <w:numPr>
          <w:ilvl w:val="0"/>
          <w:numId w:val="3"/>
        </w:numPr>
        <w:rPr>
          <w:rFonts w:ascii="Arial" w:hAnsi="Arial" w:cs="Arial"/>
        </w:rPr>
      </w:pPr>
      <w:r w:rsidRPr="0003219D">
        <w:rPr>
          <w:rFonts w:ascii="Arial" w:hAnsi="Arial" w:cs="Arial"/>
        </w:rPr>
        <w:t>Stakeholders [Enter names and titles here]</w:t>
      </w:r>
    </w:p>
    <w:p w14:paraId="67BD27FC" w14:textId="77777777" w:rsidR="00EC73D7" w:rsidRPr="0003219D" w:rsidRDefault="00000000">
      <w:pPr>
        <w:pStyle w:val="Compact"/>
        <w:numPr>
          <w:ilvl w:val="0"/>
          <w:numId w:val="3"/>
        </w:numPr>
        <w:rPr>
          <w:rFonts w:ascii="Arial" w:hAnsi="Arial" w:cs="Arial"/>
        </w:rPr>
      </w:pPr>
      <w:r w:rsidRPr="0003219D">
        <w:rPr>
          <w:rFonts w:ascii="Arial" w:hAnsi="Arial" w:cs="Arial"/>
        </w:rPr>
        <w:t>Target implementation [e.g. Quarter and year]</w:t>
      </w:r>
    </w:p>
    <w:p w14:paraId="5EB3EC20" w14:textId="3D6D2F1A" w:rsidR="00EC73D7" w:rsidRPr="0003219D" w:rsidRDefault="00EC73D7">
      <w:pPr>
        <w:rPr>
          <w:rFonts w:ascii="Arial" w:hAnsi="Arial" w:cs="Arial"/>
        </w:rPr>
      </w:pPr>
    </w:p>
    <w:p w14:paraId="377671F3" w14:textId="77777777" w:rsidR="00EC73D7" w:rsidRPr="0003219D" w:rsidRDefault="00000000">
      <w:pPr>
        <w:pStyle w:val="Heading1"/>
        <w:rPr>
          <w:rFonts w:ascii="Arial" w:hAnsi="Arial" w:cs="Arial"/>
        </w:rPr>
      </w:pPr>
      <w:bookmarkStart w:id="6" w:name="section-1-general-requirements"/>
      <w:bookmarkEnd w:id="0"/>
      <w:bookmarkEnd w:id="5"/>
      <w:r w:rsidRPr="0003219D">
        <w:rPr>
          <w:rFonts w:ascii="Arial" w:hAnsi="Arial" w:cs="Arial"/>
        </w:rPr>
        <w:t>Section 1: General requirements</w:t>
      </w:r>
    </w:p>
    <w:p w14:paraId="55FE4773" w14:textId="5B2AC87E" w:rsidR="00EC73D7" w:rsidRPr="0003219D" w:rsidRDefault="00000000">
      <w:pPr>
        <w:pStyle w:val="FirstParagraph"/>
        <w:rPr>
          <w:rFonts w:ascii="Arial" w:hAnsi="Arial" w:cs="Arial"/>
        </w:rPr>
      </w:pPr>
      <w:r w:rsidRPr="0003219D">
        <w:rPr>
          <w:rFonts w:ascii="Arial" w:hAnsi="Arial" w:cs="Arial"/>
        </w:rPr>
        <w:t>There are several foundational system capabilities that affect how well a billing solution integrates into existing systems and workflows. The following requirements cover architectural fit, global support, user governance and the ability to adapt to change. Gaps here tend to create long</w:t>
      </w:r>
      <w:r w:rsidRPr="0003219D">
        <w:rPr>
          <w:rFonts w:ascii="Cambria Math" w:hAnsi="Cambria Math" w:cs="Cambria Math"/>
        </w:rPr>
        <w:t>‑</w:t>
      </w:r>
      <w:r w:rsidRPr="0003219D">
        <w:rPr>
          <w:rFonts w:ascii="Arial" w:hAnsi="Arial" w:cs="Arial"/>
        </w:rPr>
        <w:t>term friction for IT, finance and operations.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69"/>
        <w:gridCol w:w="2337"/>
        <w:gridCol w:w="3460"/>
        <w:gridCol w:w="2591"/>
      </w:tblGrid>
      <w:tr w:rsidR="00B9708E" w:rsidRPr="0003219D" w14:paraId="023B5EDA" w14:textId="77777777" w:rsidTr="00B9708E">
        <w:trPr>
          <w:cnfStyle w:val="100000000000" w:firstRow="1" w:lastRow="0" w:firstColumn="0" w:lastColumn="0" w:oddVBand="0" w:evenVBand="0" w:oddHBand="0" w:evenHBand="0" w:firstRowFirstColumn="0" w:firstRowLastColumn="0" w:lastRowFirstColumn="0" w:lastRowLastColumn="0"/>
          <w:tblHeader/>
        </w:trPr>
        <w:tc>
          <w:tcPr>
            <w:tcW w:w="783" w:type="dxa"/>
          </w:tcPr>
          <w:p w14:paraId="1707EE42" w14:textId="77777777" w:rsidR="00EC73D7" w:rsidRPr="0003219D" w:rsidRDefault="00000000">
            <w:pPr>
              <w:pStyle w:val="Compact"/>
              <w:rPr>
                <w:rFonts w:ascii="Arial" w:hAnsi="Arial" w:cs="Arial"/>
              </w:rPr>
            </w:pPr>
            <w:r w:rsidRPr="0003219D">
              <w:rPr>
                <w:rFonts w:ascii="Arial" w:hAnsi="Arial" w:cs="Arial"/>
              </w:rPr>
              <w:t>Ref</w:t>
            </w:r>
          </w:p>
        </w:tc>
        <w:tc>
          <w:tcPr>
            <w:tcW w:w="2394" w:type="dxa"/>
          </w:tcPr>
          <w:p w14:paraId="264C0789" w14:textId="77777777" w:rsidR="00EC73D7" w:rsidRPr="0003219D" w:rsidRDefault="00000000">
            <w:pPr>
              <w:pStyle w:val="Compact"/>
              <w:rPr>
                <w:rFonts w:ascii="Arial" w:hAnsi="Arial" w:cs="Arial"/>
              </w:rPr>
            </w:pPr>
            <w:r w:rsidRPr="0003219D">
              <w:rPr>
                <w:rFonts w:ascii="Arial" w:hAnsi="Arial" w:cs="Arial"/>
              </w:rPr>
              <w:t>Requirement</w:t>
            </w:r>
          </w:p>
        </w:tc>
        <w:tc>
          <w:tcPr>
            <w:tcW w:w="3547" w:type="dxa"/>
          </w:tcPr>
          <w:p w14:paraId="4DC9D707" w14:textId="77777777" w:rsidR="00EC73D7" w:rsidRPr="0003219D" w:rsidRDefault="00000000">
            <w:pPr>
              <w:pStyle w:val="Compact"/>
              <w:rPr>
                <w:rFonts w:ascii="Arial" w:hAnsi="Arial" w:cs="Arial"/>
              </w:rPr>
            </w:pPr>
            <w:r w:rsidRPr="0003219D">
              <w:rPr>
                <w:rFonts w:ascii="Arial" w:hAnsi="Arial" w:cs="Arial"/>
              </w:rPr>
              <w:t>Considerations</w:t>
            </w:r>
          </w:p>
        </w:tc>
        <w:tc>
          <w:tcPr>
            <w:tcW w:w="2654" w:type="dxa"/>
          </w:tcPr>
          <w:p w14:paraId="534B1397"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22560CA8" w14:textId="77777777" w:rsidTr="00B9708E">
        <w:tc>
          <w:tcPr>
            <w:tcW w:w="783" w:type="dxa"/>
          </w:tcPr>
          <w:p w14:paraId="3AB28040" w14:textId="77777777" w:rsidR="00EC73D7" w:rsidRPr="0003219D" w:rsidRDefault="00000000">
            <w:pPr>
              <w:pStyle w:val="Compact"/>
              <w:rPr>
                <w:rFonts w:ascii="Arial" w:hAnsi="Arial" w:cs="Arial"/>
              </w:rPr>
            </w:pPr>
            <w:r w:rsidRPr="0003219D">
              <w:rPr>
                <w:rFonts w:ascii="Arial" w:hAnsi="Arial" w:cs="Arial"/>
              </w:rPr>
              <w:t>1.1</w:t>
            </w:r>
          </w:p>
        </w:tc>
        <w:tc>
          <w:tcPr>
            <w:tcW w:w="2394" w:type="dxa"/>
          </w:tcPr>
          <w:p w14:paraId="6CEEF3C9" w14:textId="7F11C87E" w:rsidR="00EC73D7" w:rsidRPr="0003219D" w:rsidRDefault="00000000">
            <w:pPr>
              <w:pStyle w:val="Compact"/>
              <w:rPr>
                <w:rFonts w:ascii="Arial" w:hAnsi="Arial" w:cs="Arial"/>
              </w:rPr>
            </w:pPr>
            <w:r w:rsidRPr="0003219D">
              <w:rPr>
                <w:rFonts w:ascii="Arial" w:hAnsi="Arial" w:cs="Arial"/>
              </w:rPr>
              <w:t xml:space="preserve">Runs natively inside </w:t>
            </w:r>
            <w:r w:rsidR="004D18C8" w:rsidRPr="0003219D">
              <w:rPr>
                <w:rFonts w:ascii="Arial" w:hAnsi="Arial" w:cs="Arial"/>
              </w:rPr>
              <w:t>the</w:t>
            </w:r>
            <w:r w:rsidRPr="0003219D">
              <w:rPr>
                <w:rFonts w:ascii="Arial" w:hAnsi="Arial" w:cs="Arial"/>
              </w:rPr>
              <w:t xml:space="preserve"> ERP, not externally integrated</w:t>
            </w:r>
          </w:p>
        </w:tc>
        <w:tc>
          <w:tcPr>
            <w:tcW w:w="3547" w:type="dxa"/>
          </w:tcPr>
          <w:p w14:paraId="260B6360" w14:textId="345B400C" w:rsidR="00EC73D7" w:rsidRPr="0003219D" w:rsidRDefault="00000000">
            <w:pPr>
              <w:pStyle w:val="Compact"/>
              <w:rPr>
                <w:rFonts w:ascii="Arial" w:hAnsi="Arial" w:cs="Arial"/>
              </w:rPr>
            </w:pPr>
            <w:r w:rsidRPr="0003219D">
              <w:rPr>
                <w:rFonts w:ascii="Arial" w:hAnsi="Arial" w:cs="Arial"/>
              </w:rPr>
              <w:t>Solutions that operate outside the ERP require middleware, sync jobs or external reconciliation</w:t>
            </w:r>
            <w:r w:rsidR="005411DD">
              <w:rPr>
                <w:rFonts w:ascii="Arial" w:hAnsi="Arial" w:cs="Arial"/>
              </w:rPr>
              <w:t>,</w:t>
            </w:r>
            <w:r w:rsidRPr="0003219D">
              <w:rPr>
                <w:rFonts w:ascii="Arial" w:hAnsi="Arial" w:cs="Arial"/>
              </w:rPr>
              <w:t xml:space="preserve"> increasing IT cost, latency and the risk of data mismatches between systems.</w:t>
            </w:r>
          </w:p>
        </w:tc>
        <w:tc>
          <w:tcPr>
            <w:tcW w:w="2654" w:type="dxa"/>
          </w:tcPr>
          <w:p w14:paraId="1DF02F5F" w14:textId="77777777" w:rsidR="00EC73D7" w:rsidRPr="0003219D" w:rsidRDefault="00EC73D7">
            <w:pPr>
              <w:pStyle w:val="Compact"/>
              <w:rPr>
                <w:rFonts w:ascii="Arial" w:hAnsi="Arial" w:cs="Arial"/>
              </w:rPr>
            </w:pPr>
          </w:p>
        </w:tc>
      </w:tr>
      <w:tr w:rsidR="00B9708E" w:rsidRPr="0003219D" w14:paraId="11AC3C29" w14:textId="77777777" w:rsidTr="00B9708E">
        <w:tc>
          <w:tcPr>
            <w:tcW w:w="783" w:type="dxa"/>
          </w:tcPr>
          <w:p w14:paraId="5A3044E6" w14:textId="77777777" w:rsidR="00EC73D7" w:rsidRPr="0003219D" w:rsidRDefault="00000000">
            <w:pPr>
              <w:pStyle w:val="Compact"/>
              <w:rPr>
                <w:rFonts w:ascii="Arial" w:hAnsi="Arial" w:cs="Arial"/>
              </w:rPr>
            </w:pPr>
            <w:r w:rsidRPr="0003219D">
              <w:rPr>
                <w:rFonts w:ascii="Arial" w:hAnsi="Arial" w:cs="Arial"/>
              </w:rPr>
              <w:t>1.2</w:t>
            </w:r>
          </w:p>
        </w:tc>
        <w:tc>
          <w:tcPr>
            <w:tcW w:w="2394" w:type="dxa"/>
          </w:tcPr>
          <w:p w14:paraId="08D00A6B" w14:textId="77777777" w:rsidR="00EC73D7" w:rsidRPr="0003219D" w:rsidRDefault="00000000">
            <w:pPr>
              <w:pStyle w:val="Compact"/>
              <w:rPr>
                <w:rFonts w:ascii="Arial" w:hAnsi="Arial" w:cs="Arial"/>
              </w:rPr>
            </w:pPr>
            <w:r w:rsidRPr="0003219D">
              <w:rPr>
                <w:rFonts w:ascii="Arial" w:hAnsi="Arial" w:cs="Arial"/>
              </w:rPr>
              <w:t>Supports multiple subsidiaries, legal entities and business units</w:t>
            </w:r>
          </w:p>
        </w:tc>
        <w:tc>
          <w:tcPr>
            <w:tcW w:w="3547" w:type="dxa"/>
          </w:tcPr>
          <w:p w14:paraId="302C5CB3" w14:textId="77777777" w:rsidR="00EC73D7" w:rsidRPr="0003219D" w:rsidRDefault="00000000">
            <w:pPr>
              <w:pStyle w:val="Compact"/>
              <w:rPr>
                <w:rFonts w:ascii="Arial" w:hAnsi="Arial" w:cs="Arial"/>
              </w:rPr>
            </w:pPr>
            <w:r w:rsidRPr="0003219D">
              <w:rPr>
                <w:rFonts w:ascii="Arial" w:hAnsi="Arial" w:cs="Arial"/>
              </w:rPr>
              <w:t>Systems that can’t manage intercompany billing or multi</w:t>
            </w:r>
            <w:r w:rsidRPr="0003219D">
              <w:rPr>
                <w:rFonts w:ascii="Cambria Math" w:hAnsi="Cambria Math" w:cs="Cambria Math"/>
              </w:rPr>
              <w:t>‑</w:t>
            </w:r>
            <w:r w:rsidRPr="0003219D">
              <w:rPr>
                <w:rFonts w:ascii="Arial" w:hAnsi="Arial" w:cs="Arial"/>
              </w:rPr>
              <w:t>entity consolidation force teams to handle these workflows manually or duplicate customer records across orgs.</w:t>
            </w:r>
          </w:p>
        </w:tc>
        <w:tc>
          <w:tcPr>
            <w:tcW w:w="2654" w:type="dxa"/>
          </w:tcPr>
          <w:p w14:paraId="30ED10DA" w14:textId="77777777" w:rsidR="00EC73D7" w:rsidRPr="0003219D" w:rsidRDefault="00EC73D7">
            <w:pPr>
              <w:pStyle w:val="Compact"/>
              <w:rPr>
                <w:rFonts w:ascii="Arial" w:hAnsi="Arial" w:cs="Arial"/>
              </w:rPr>
            </w:pPr>
          </w:p>
        </w:tc>
      </w:tr>
      <w:tr w:rsidR="00B9708E" w:rsidRPr="0003219D" w14:paraId="78D88565" w14:textId="77777777" w:rsidTr="00B9708E">
        <w:tc>
          <w:tcPr>
            <w:tcW w:w="783" w:type="dxa"/>
          </w:tcPr>
          <w:p w14:paraId="178CB6E1" w14:textId="77777777" w:rsidR="00EC73D7" w:rsidRPr="0003219D" w:rsidRDefault="00000000">
            <w:pPr>
              <w:pStyle w:val="Compact"/>
              <w:rPr>
                <w:rFonts w:ascii="Arial" w:hAnsi="Arial" w:cs="Arial"/>
              </w:rPr>
            </w:pPr>
            <w:r w:rsidRPr="0003219D">
              <w:rPr>
                <w:rFonts w:ascii="Arial" w:hAnsi="Arial" w:cs="Arial"/>
              </w:rPr>
              <w:t>1.3</w:t>
            </w:r>
          </w:p>
        </w:tc>
        <w:tc>
          <w:tcPr>
            <w:tcW w:w="2394" w:type="dxa"/>
          </w:tcPr>
          <w:p w14:paraId="0C50A23E" w14:textId="77777777" w:rsidR="00EC73D7" w:rsidRPr="0003219D" w:rsidRDefault="00000000">
            <w:pPr>
              <w:pStyle w:val="Compact"/>
              <w:rPr>
                <w:rFonts w:ascii="Arial" w:hAnsi="Arial" w:cs="Arial"/>
              </w:rPr>
            </w:pPr>
            <w:r w:rsidRPr="0003219D">
              <w:rPr>
                <w:rFonts w:ascii="Arial" w:hAnsi="Arial" w:cs="Arial"/>
              </w:rPr>
              <w:t>Supports multi</w:t>
            </w:r>
            <w:r w:rsidRPr="0003219D">
              <w:rPr>
                <w:rFonts w:ascii="Cambria Math" w:hAnsi="Cambria Math" w:cs="Cambria Math"/>
              </w:rPr>
              <w:t>‑</w:t>
            </w:r>
            <w:r w:rsidRPr="0003219D">
              <w:rPr>
                <w:rFonts w:ascii="Arial" w:hAnsi="Arial" w:cs="Arial"/>
              </w:rPr>
              <w:t>currency billing, pricing and revenue recognition</w:t>
            </w:r>
          </w:p>
        </w:tc>
        <w:tc>
          <w:tcPr>
            <w:tcW w:w="3547" w:type="dxa"/>
          </w:tcPr>
          <w:p w14:paraId="0C6CE976" w14:textId="72F78135" w:rsidR="00EC73D7" w:rsidRPr="0003219D" w:rsidRDefault="00000000">
            <w:pPr>
              <w:pStyle w:val="Compact"/>
              <w:rPr>
                <w:rFonts w:ascii="Arial" w:hAnsi="Arial" w:cs="Arial"/>
              </w:rPr>
            </w:pPr>
            <w:r w:rsidRPr="0003219D">
              <w:rPr>
                <w:rFonts w:ascii="Arial" w:hAnsi="Arial" w:cs="Arial"/>
              </w:rPr>
              <w:t>Without native currency handling, finance must manage FX conversion outside the system or rely on bolt</w:t>
            </w:r>
            <w:r w:rsidRPr="0003219D">
              <w:rPr>
                <w:rFonts w:ascii="Cambria Math" w:hAnsi="Cambria Math" w:cs="Cambria Math"/>
              </w:rPr>
              <w:t>‑</w:t>
            </w:r>
            <w:r w:rsidRPr="0003219D">
              <w:rPr>
                <w:rFonts w:ascii="Arial" w:hAnsi="Arial" w:cs="Arial"/>
              </w:rPr>
              <w:t>ons</w:t>
            </w:r>
            <w:r w:rsidR="005411DD">
              <w:rPr>
                <w:rFonts w:ascii="Arial" w:hAnsi="Arial" w:cs="Arial"/>
              </w:rPr>
              <w:t>,</w:t>
            </w:r>
            <w:r w:rsidRPr="0003219D">
              <w:rPr>
                <w:rFonts w:ascii="Arial" w:hAnsi="Arial" w:cs="Arial"/>
              </w:rPr>
              <w:t xml:space="preserve"> adding delay and increasing reconciliation effort.</w:t>
            </w:r>
          </w:p>
        </w:tc>
        <w:tc>
          <w:tcPr>
            <w:tcW w:w="2654" w:type="dxa"/>
          </w:tcPr>
          <w:p w14:paraId="49450B8A" w14:textId="77777777" w:rsidR="00EC73D7" w:rsidRPr="0003219D" w:rsidRDefault="00EC73D7">
            <w:pPr>
              <w:pStyle w:val="Compact"/>
              <w:rPr>
                <w:rFonts w:ascii="Arial" w:hAnsi="Arial" w:cs="Arial"/>
              </w:rPr>
            </w:pPr>
          </w:p>
        </w:tc>
      </w:tr>
      <w:tr w:rsidR="00B9708E" w:rsidRPr="0003219D" w14:paraId="4A1698B2" w14:textId="77777777" w:rsidTr="00B9708E">
        <w:tc>
          <w:tcPr>
            <w:tcW w:w="783" w:type="dxa"/>
          </w:tcPr>
          <w:p w14:paraId="258272D9" w14:textId="77777777" w:rsidR="00EC73D7" w:rsidRPr="0003219D" w:rsidRDefault="00000000">
            <w:pPr>
              <w:pStyle w:val="Compact"/>
              <w:rPr>
                <w:rFonts w:ascii="Arial" w:hAnsi="Arial" w:cs="Arial"/>
              </w:rPr>
            </w:pPr>
            <w:r w:rsidRPr="0003219D">
              <w:rPr>
                <w:rFonts w:ascii="Arial" w:hAnsi="Arial" w:cs="Arial"/>
              </w:rPr>
              <w:lastRenderedPageBreak/>
              <w:t>1.4</w:t>
            </w:r>
          </w:p>
        </w:tc>
        <w:tc>
          <w:tcPr>
            <w:tcW w:w="2394" w:type="dxa"/>
          </w:tcPr>
          <w:p w14:paraId="187CABC0" w14:textId="77777777" w:rsidR="00EC73D7" w:rsidRPr="0003219D" w:rsidRDefault="00000000">
            <w:pPr>
              <w:pStyle w:val="Compact"/>
              <w:rPr>
                <w:rFonts w:ascii="Arial" w:hAnsi="Arial" w:cs="Arial"/>
              </w:rPr>
            </w:pPr>
            <w:r w:rsidRPr="0003219D">
              <w:rPr>
                <w:rFonts w:ascii="Arial" w:hAnsi="Arial" w:cs="Arial"/>
              </w:rPr>
              <w:t>Offers role</w:t>
            </w:r>
            <w:r w:rsidRPr="0003219D">
              <w:rPr>
                <w:rFonts w:ascii="Cambria Math" w:hAnsi="Cambria Math" w:cs="Cambria Math"/>
              </w:rPr>
              <w:t>‑</w:t>
            </w:r>
            <w:r w:rsidRPr="0003219D">
              <w:rPr>
                <w:rFonts w:ascii="Arial" w:hAnsi="Arial" w:cs="Arial"/>
              </w:rPr>
              <w:t>based permissions, audit logs and approval controls</w:t>
            </w:r>
          </w:p>
        </w:tc>
        <w:tc>
          <w:tcPr>
            <w:tcW w:w="3547" w:type="dxa"/>
          </w:tcPr>
          <w:p w14:paraId="01D5B215" w14:textId="77777777" w:rsidR="00EC73D7" w:rsidRPr="0003219D" w:rsidRDefault="00000000">
            <w:pPr>
              <w:pStyle w:val="Compact"/>
              <w:rPr>
                <w:rFonts w:ascii="Arial" w:hAnsi="Arial" w:cs="Arial"/>
              </w:rPr>
            </w:pPr>
            <w:r w:rsidRPr="0003219D">
              <w:rPr>
                <w:rFonts w:ascii="Arial" w:hAnsi="Arial" w:cs="Arial"/>
              </w:rPr>
              <w:t>If access, changes and approvals aren’t tracked at a granular level, it creates compliance risk and limits internal control over contract and billing data.</w:t>
            </w:r>
          </w:p>
        </w:tc>
        <w:tc>
          <w:tcPr>
            <w:tcW w:w="2654" w:type="dxa"/>
          </w:tcPr>
          <w:p w14:paraId="7E1D6E1F" w14:textId="77777777" w:rsidR="00EC73D7" w:rsidRPr="0003219D" w:rsidRDefault="00EC73D7">
            <w:pPr>
              <w:pStyle w:val="Compact"/>
              <w:rPr>
                <w:rFonts w:ascii="Arial" w:hAnsi="Arial" w:cs="Arial"/>
              </w:rPr>
            </w:pPr>
          </w:p>
        </w:tc>
      </w:tr>
      <w:tr w:rsidR="00B9708E" w:rsidRPr="0003219D" w14:paraId="7312B848" w14:textId="77777777" w:rsidTr="00B9708E">
        <w:tc>
          <w:tcPr>
            <w:tcW w:w="783" w:type="dxa"/>
          </w:tcPr>
          <w:p w14:paraId="5FECB1C3" w14:textId="77777777" w:rsidR="00EC73D7" w:rsidRPr="0003219D" w:rsidRDefault="00000000">
            <w:pPr>
              <w:pStyle w:val="Compact"/>
              <w:rPr>
                <w:rFonts w:ascii="Arial" w:hAnsi="Arial" w:cs="Arial"/>
              </w:rPr>
            </w:pPr>
            <w:r w:rsidRPr="0003219D">
              <w:rPr>
                <w:rFonts w:ascii="Arial" w:hAnsi="Arial" w:cs="Arial"/>
              </w:rPr>
              <w:t>1.5</w:t>
            </w:r>
          </w:p>
        </w:tc>
        <w:tc>
          <w:tcPr>
            <w:tcW w:w="2394" w:type="dxa"/>
          </w:tcPr>
          <w:p w14:paraId="166C8286" w14:textId="77777777" w:rsidR="00EC73D7" w:rsidRPr="0003219D" w:rsidRDefault="00000000">
            <w:pPr>
              <w:pStyle w:val="Compact"/>
              <w:rPr>
                <w:rFonts w:ascii="Arial" w:hAnsi="Arial" w:cs="Arial"/>
              </w:rPr>
            </w:pPr>
            <w:r w:rsidRPr="0003219D">
              <w:rPr>
                <w:rFonts w:ascii="Arial" w:hAnsi="Arial" w:cs="Arial"/>
              </w:rPr>
              <w:t>Integrates with CRM, CPQ, usage sources, tax and payment platforms</w:t>
            </w:r>
          </w:p>
        </w:tc>
        <w:tc>
          <w:tcPr>
            <w:tcW w:w="3547" w:type="dxa"/>
          </w:tcPr>
          <w:p w14:paraId="5BD80BBF" w14:textId="77777777" w:rsidR="00EC73D7" w:rsidRPr="0003219D" w:rsidRDefault="00000000">
            <w:pPr>
              <w:pStyle w:val="Compact"/>
              <w:rPr>
                <w:rFonts w:ascii="Arial" w:hAnsi="Arial" w:cs="Arial"/>
              </w:rPr>
            </w:pPr>
            <w:r w:rsidRPr="0003219D">
              <w:rPr>
                <w:rFonts w:ascii="Arial" w:hAnsi="Arial" w:cs="Arial"/>
              </w:rPr>
              <w:t>Systems with limited APIs or rigid data models may require custom integrations or external ETL pipelines – increasing time to value and introducing fragility.</w:t>
            </w:r>
          </w:p>
        </w:tc>
        <w:tc>
          <w:tcPr>
            <w:tcW w:w="2654" w:type="dxa"/>
          </w:tcPr>
          <w:p w14:paraId="0A4779A7" w14:textId="77777777" w:rsidR="00EC73D7" w:rsidRPr="0003219D" w:rsidRDefault="00EC73D7">
            <w:pPr>
              <w:pStyle w:val="Compact"/>
              <w:rPr>
                <w:rFonts w:ascii="Arial" w:hAnsi="Arial" w:cs="Arial"/>
              </w:rPr>
            </w:pPr>
          </w:p>
        </w:tc>
      </w:tr>
      <w:tr w:rsidR="00B9708E" w:rsidRPr="0003219D" w14:paraId="0F2EE897" w14:textId="77777777" w:rsidTr="00B9708E">
        <w:tc>
          <w:tcPr>
            <w:tcW w:w="783" w:type="dxa"/>
          </w:tcPr>
          <w:p w14:paraId="3034A056" w14:textId="77777777" w:rsidR="00EC73D7" w:rsidRPr="0003219D" w:rsidRDefault="00000000">
            <w:pPr>
              <w:pStyle w:val="Compact"/>
              <w:rPr>
                <w:rFonts w:ascii="Arial" w:hAnsi="Arial" w:cs="Arial"/>
              </w:rPr>
            </w:pPr>
            <w:r w:rsidRPr="0003219D">
              <w:rPr>
                <w:rFonts w:ascii="Arial" w:hAnsi="Arial" w:cs="Arial"/>
              </w:rPr>
              <w:t>1.6</w:t>
            </w:r>
          </w:p>
        </w:tc>
        <w:tc>
          <w:tcPr>
            <w:tcW w:w="2394" w:type="dxa"/>
          </w:tcPr>
          <w:p w14:paraId="6DF7D895" w14:textId="77777777" w:rsidR="00EC73D7" w:rsidRPr="0003219D" w:rsidRDefault="00000000">
            <w:pPr>
              <w:pStyle w:val="Compact"/>
              <w:rPr>
                <w:rFonts w:ascii="Arial" w:hAnsi="Arial" w:cs="Arial"/>
              </w:rPr>
            </w:pPr>
            <w:r w:rsidRPr="0003219D">
              <w:rPr>
                <w:rFonts w:ascii="Arial" w:hAnsi="Arial" w:cs="Arial"/>
              </w:rPr>
              <w:t>Supports future changes to pricing, billing or revenue models without reimplementation</w:t>
            </w:r>
          </w:p>
        </w:tc>
        <w:tc>
          <w:tcPr>
            <w:tcW w:w="3547" w:type="dxa"/>
          </w:tcPr>
          <w:p w14:paraId="583CC80F" w14:textId="77777777" w:rsidR="00EC73D7" w:rsidRPr="0003219D" w:rsidRDefault="00000000">
            <w:pPr>
              <w:pStyle w:val="Compact"/>
              <w:rPr>
                <w:rFonts w:ascii="Arial" w:hAnsi="Arial" w:cs="Arial"/>
              </w:rPr>
            </w:pPr>
            <w:r w:rsidRPr="0003219D">
              <w:rPr>
                <w:rFonts w:ascii="Arial" w:hAnsi="Arial" w:cs="Arial"/>
              </w:rPr>
              <w:t>Platforms that tie logic to static product catalog definitions or hardcoded billing rules can’t adapt easily to new monetization strategies – requiring costly rework.</w:t>
            </w:r>
          </w:p>
        </w:tc>
        <w:tc>
          <w:tcPr>
            <w:tcW w:w="2654" w:type="dxa"/>
          </w:tcPr>
          <w:p w14:paraId="2ED3D213" w14:textId="77777777" w:rsidR="00EC73D7" w:rsidRPr="0003219D" w:rsidRDefault="00EC73D7">
            <w:pPr>
              <w:pStyle w:val="Compact"/>
              <w:rPr>
                <w:rFonts w:ascii="Arial" w:hAnsi="Arial" w:cs="Arial"/>
              </w:rPr>
            </w:pPr>
          </w:p>
        </w:tc>
      </w:tr>
      <w:tr w:rsidR="004D18C8" w:rsidRPr="0003219D" w14:paraId="1247FD94" w14:textId="77777777" w:rsidTr="00B9708E">
        <w:tc>
          <w:tcPr>
            <w:tcW w:w="783" w:type="dxa"/>
          </w:tcPr>
          <w:p w14:paraId="293D7241" w14:textId="280F9C6F" w:rsidR="004D18C8" w:rsidRPr="0003219D" w:rsidRDefault="004D18C8">
            <w:pPr>
              <w:pStyle w:val="Compact"/>
              <w:rPr>
                <w:rFonts w:ascii="Arial" w:hAnsi="Arial" w:cs="Arial"/>
              </w:rPr>
            </w:pPr>
            <w:r w:rsidRPr="0003219D">
              <w:rPr>
                <w:rFonts w:ascii="Arial" w:hAnsi="Arial" w:cs="Arial"/>
              </w:rPr>
              <w:t>1.7</w:t>
            </w:r>
          </w:p>
        </w:tc>
        <w:tc>
          <w:tcPr>
            <w:tcW w:w="2394" w:type="dxa"/>
          </w:tcPr>
          <w:p w14:paraId="3554F996" w14:textId="68459450" w:rsidR="004D18C8" w:rsidRPr="0003219D" w:rsidRDefault="004D18C8">
            <w:pPr>
              <w:pStyle w:val="Compact"/>
              <w:rPr>
                <w:rFonts w:ascii="Arial" w:hAnsi="Arial" w:cs="Arial"/>
              </w:rPr>
            </w:pPr>
            <w:r w:rsidRPr="0003219D">
              <w:rPr>
                <w:rFonts w:ascii="Arial" w:hAnsi="Arial" w:cs="Arial"/>
              </w:rPr>
              <w:t>Provides a single system of record for invoice generation and lifecycle management</w:t>
            </w:r>
          </w:p>
        </w:tc>
        <w:tc>
          <w:tcPr>
            <w:tcW w:w="3547" w:type="dxa"/>
          </w:tcPr>
          <w:p w14:paraId="17F7BE65" w14:textId="09213CEB" w:rsidR="004D18C8" w:rsidRPr="0003219D" w:rsidRDefault="00DE1097">
            <w:pPr>
              <w:pStyle w:val="Compact"/>
              <w:rPr>
                <w:rFonts w:ascii="Arial" w:hAnsi="Arial" w:cs="Arial"/>
              </w:rPr>
            </w:pPr>
            <w:r w:rsidRPr="0003219D">
              <w:rPr>
                <w:rFonts w:ascii="Arial" w:hAnsi="Arial" w:cs="Arial"/>
              </w:rPr>
              <w:t>Handling i</w:t>
            </w:r>
            <w:r w:rsidR="004D18C8" w:rsidRPr="0003219D">
              <w:rPr>
                <w:rFonts w:ascii="Arial" w:hAnsi="Arial" w:cs="Arial"/>
              </w:rPr>
              <w:t xml:space="preserve">nvoices, adjustments, payments and cancellations in </w:t>
            </w:r>
            <w:r w:rsidRPr="0003219D">
              <w:rPr>
                <w:rFonts w:ascii="Arial" w:hAnsi="Arial" w:cs="Arial"/>
              </w:rPr>
              <w:t>multiple systems</w:t>
            </w:r>
            <w:r w:rsidR="004D18C8" w:rsidRPr="0003219D">
              <w:rPr>
                <w:rFonts w:ascii="Arial" w:hAnsi="Arial" w:cs="Arial"/>
              </w:rPr>
              <w:t xml:space="preserve"> </w:t>
            </w:r>
            <w:r w:rsidRPr="0003219D">
              <w:rPr>
                <w:rFonts w:ascii="Arial" w:hAnsi="Arial" w:cs="Arial"/>
              </w:rPr>
              <w:t>(</w:t>
            </w:r>
            <w:r w:rsidR="004D18C8" w:rsidRPr="0003219D">
              <w:rPr>
                <w:rFonts w:ascii="Arial" w:hAnsi="Arial" w:cs="Arial"/>
              </w:rPr>
              <w:t>the ERP, CRM and billing system</w:t>
            </w:r>
            <w:r w:rsidRPr="0003219D">
              <w:rPr>
                <w:rFonts w:ascii="Arial" w:hAnsi="Arial" w:cs="Arial"/>
              </w:rPr>
              <w:t>)</w:t>
            </w:r>
            <w:r w:rsidR="004D18C8" w:rsidRPr="0003219D">
              <w:rPr>
                <w:rFonts w:ascii="Arial" w:hAnsi="Arial" w:cs="Arial"/>
              </w:rPr>
              <w:t xml:space="preserve"> </w:t>
            </w:r>
            <w:r w:rsidRPr="0003219D">
              <w:rPr>
                <w:rFonts w:ascii="Arial" w:hAnsi="Arial" w:cs="Arial"/>
              </w:rPr>
              <w:t>creates</w:t>
            </w:r>
            <w:r w:rsidR="004D18C8" w:rsidRPr="0003219D">
              <w:rPr>
                <w:rFonts w:ascii="Arial" w:hAnsi="Arial" w:cs="Arial"/>
              </w:rPr>
              <w:t xml:space="preserve"> duplicate records, </w:t>
            </w:r>
            <w:r w:rsidRPr="0003219D">
              <w:rPr>
                <w:rFonts w:ascii="Arial" w:hAnsi="Arial" w:cs="Arial"/>
              </w:rPr>
              <w:t xml:space="preserve">closing delays, </w:t>
            </w:r>
            <w:r w:rsidR="004D18C8" w:rsidRPr="0003219D">
              <w:rPr>
                <w:rFonts w:ascii="Arial" w:hAnsi="Arial" w:cs="Arial"/>
              </w:rPr>
              <w:t>audit risk</w:t>
            </w:r>
            <w:r w:rsidRPr="0003219D">
              <w:rPr>
                <w:rFonts w:ascii="Arial" w:hAnsi="Arial" w:cs="Arial"/>
              </w:rPr>
              <w:t>s and reporting issues.</w:t>
            </w:r>
          </w:p>
        </w:tc>
        <w:tc>
          <w:tcPr>
            <w:tcW w:w="2654" w:type="dxa"/>
          </w:tcPr>
          <w:p w14:paraId="164FE66F" w14:textId="77777777" w:rsidR="004D18C8" w:rsidRPr="0003219D" w:rsidRDefault="004D18C8">
            <w:pPr>
              <w:pStyle w:val="Compact"/>
              <w:rPr>
                <w:rFonts w:ascii="Arial" w:hAnsi="Arial" w:cs="Arial"/>
              </w:rPr>
            </w:pPr>
          </w:p>
        </w:tc>
      </w:tr>
    </w:tbl>
    <w:p w14:paraId="159D997D" w14:textId="239F9D95" w:rsidR="00EC73D7" w:rsidRPr="0003219D" w:rsidRDefault="00EC73D7">
      <w:pPr>
        <w:rPr>
          <w:rFonts w:ascii="Arial" w:hAnsi="Arial" w:cs="Arial"/>
        </w:rPr>
      </w:pPr>
    </w:p>
    <w:p w14:paraId="5A15FF77" w14:textId="77777777" w:rsidR="00EC73D7" w:rsidRPr="0003219D" w:rsidRDefault="00000000">
      <w:pPr>
        <w:pStyle w:val="Heading1"/>
        <w:rPr>
          <w:rFonts w:ascii="Arial" w:hAnsi="Arial" w:cs="Arial"/>
        </w:rPr>
      </w:pPr>
      <w:bookmarkStart w:id="7" w:name="X2a8d94432b43f7f8e06915822ce318140d66e45"/>
      <w:bookmarkEnd w:id="6"/>
      <w:r w:rsidRPr="0003219D">
        <w:rPr>
          <w:rFonts w:ascii="Arial" w:hAnsi="Arial" w:cs="Arial"/>
        </w:rPr>
        <w:t>Section 2: Subscription and contract management</w:t>
      </w:r>
    </w:p>
    <w:p w14:paraId="18F654C5" w14:textId="5FBC53E4" w:rsidR="00EC73D7" w:rsidRPr="0003219D" w:rsidRDefault="000347CA">
      <w:pPr>
        <w:pStyle w:val="FirstParagraph"/>
        <w:rPr>
          <w:rFonts w:ascii="Arial" w:hAnsi="Arial" w:cs="Arial"/>
        </w:rPr>
      </w:pPr>
      <w:r w:rsidRPr="0003219D">
        <w:rPr>
          <w:rFonts w:ascii="Arial" w:hAnsi="Arial" w:cs="Arial"/>
        </w:rPr>
        <w:t>Recurring contracts often include mid-term changes, custom billing cadences and renewal logic that varies by customer. Billing systems must adapt to this complexity without fragmenting contract data or introducing manual steps that compromise lifecycle traceability.</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92"/>
        <w:gridCol w:w="2373"/>
        <w:gridCol w:w="3486"/>
        <w:gridCol w:w="2506"/>
      </w:tblGrid>
      <w:tr w:rsidR="00B9708E" w:rsidRPr="0003219D" w14:paraId="6648904C" w14:textId="77777777" w:rsidTr="00B9708E">
        <w:trPr>
          <w:cnfStyle w:val="100000000000" w:firstRow="1" w:lastRow="0" w:firstColumn="0" w:lastColumn="0" w:oddVBand="0" w:evenVBand="0" w:oddHBand="0" w:evenHBand="0" w:firstRowFirstColumn="0" w:firstRowLastColumn="0" w:lastRowFirstColumn="0" w:lastRowLastColumn="0"/>
          <w:tblHeader/>
        </w:trPr>
        <w:tc>
          <w:tcPr>
            <w:tcW w:w="807" w:type="dxa"/>
          </w:tcPr>
          <w:p w14:paraId="3D1EC98E" w14:textId="77777777" w:rsidR="00EC73D7" w:rsidRPr="0003219D" w:rsidRDefault="00000000">
            <w:pPr>
              <w:pStyle w:val="Compact"/>
              <w:rPr>
                <w:rFonts w:ascii="Arial" w:hAnsi="Arial" w:cs="Arial"/>
              </w:rPr>
            </w:pPr>
            <w:r w:rsidRPr="0003219D">
              <w:rPr>
                <w:rFonts w:ascii="Arial" w:hAnsi="Arial" w:cs="Arial"/>
              </w:rPr>
              <w:t>Ref</w:t>
            </w:r>
          </w:p>
        </w:tc>
        <w:tc>
          <w:tcPr>
            <w:tcW w:w="2431" w:type="dxa"/>
          </w:tcPr>
          <w:p w14:paraId="61272B12" w14:textId="77777777" w:rsidR="00EC73D7" w:rsidRPr="0003219D" w:rsidRDefault="00000000">
            <w:pPr>
              <w:pStyle w:val="Compact"/>
              <w:rPr>
                <w:rFonts w:ascii="Arial" w:hAnsi="Arial" w:cs="Arial"/>
              </w:rPr>
            </w:pPr>
            <w:r w:rsidRPr="0003219D">
              <w:rPr>
                <w:rFonts w:ascii="Arial" w:hAnsi="Arial" w:cs="Arial"/>
              </w:rPr>
              <w:t>Requirement</w:t>
            </w:r>
          </w:p>
        </w:tc>
        <w:tc>
          <w:tcPr>
            <w:tcW w:w="3573" w:type="dxa"/>
          </w:tcPr>
          <w:p w14:paraId="36AC2D41" w14:textId="77777777" w:rsidR="00EC73D7" w:rsidRPr="0003219D" w:rsidRDefault="00000000">
            <w:pPr>
              <w:pStyle w:val="Compact"/>
              <w:rPr>
                <w:rFonts w:ascii="Arial" w:hAnsi="Arial" w:cs="Arial"/>
              </w:rPr>
            </w:pPr>
            <w:r w:rsidRPr="0003219D">
              <w:rPr>
                <w:rFonts w:ascii="Arial" w:hAnsi="Arial" w:cs="Arial"/>
              </w:rPr>
              <w:t>Considerations</w:t>
            </w:r>
          </w:p>
        </w:tc>
        <w:tc>
          <w:tcPr>
            <w:tcW w:w="2567" w:type="dxa"/>
          </w:tcPr>
          <w:p w14:paraId="0650D6AE"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057A8E72" w14:textId="77777777" w:rsidTr="00B9708E">
        <w:tc>
          <w:tcPr>
            <w:tcW w:w="807" w:type="dxa"/>
          </w:tcPr>
          <w:p w14:paraId="08D4B191" w14:textId="77777777" w:rsidR="00EC73D7" w:rsidRPr="0003219D" w:rsidRDefault="00000000">
            <w:pPr>
              <w:pStyle w:val="Compact"/>
              <w:rPr>
                <w:rFonts w:ascii="Arial" w:hAnsi="Arial" w:cs="Arial"/>
              </w:rPr>
            </w:pPr>
            <w:r w:rsidRPr="0003219D">
              <w:rPr>
                <w:rFonts w:ascii="Arial" w:hAnsi="Arial" w:cs="Arial"/>
              </w:rPr>
              <w:t>2.1</w:t>
            </w:r>
          </w:p>
        </w:tc>
        <w:tc>
          <w:tcPr>
            <w:tcW w:w="2431" w:type="dxa"/>
          </w:tcPr>
          <w:p w14:paraId="62ACC81D" w14:textId="5057BBB8" w:rsidR="00EC73D7" w:rsidRPr="0003219D" w:rsidRDefault="00000000">
            <w:pPr>
              <w:pStyle w:val="Compact"/>
              <w:rPr>
                <w:rFonts w:ascii="Arial" w:hAnsi="Arial" w:cs="Arial"/>
              </w:rPr>
            </w:pPr>
            <w:r w:rsidRPr="0003219D">
              <w:rPr>
                <w:rFonts w:ascii="Arial" w:hAnsi="Arial" w:cs="Arial"/>
              </w:rPr>
              <w:t>Define</w:t>
            </w:r>
            <w:r w:rsidR="004D18C8" w:rsidRPr="0003219D">
              <w:rPr>
                <w:rFonts w:ascii="Arial" w:hAnsi="Arial" w:cs="Arial"/>
              </w:rPr>
              <w:t>s</w:t>
            </w:r>
            <w:r w:rsidRPr="0003219D">
              <w:rPr>
                <w:rFonts w:ascii="Arial" w:hAnsi="Arial" w:cs="Arial"/>
              </w:rPr>
              <w:t xml:space="preserve"> subscription</w:t>
            </w:r>
            <w:r w:rsidRPr="0003219D">
              <w:rPr>
                <w:rFonts w:ascii="Cambria Math" w:hAnsi="Cambria Math" w:cs="Cambria Math"/>
              </w:rPr>
              <w:t>‑</w:t>
            </w:r>
            <w:r w:rsidRPr="0003219D">
              <w:rPr>
                <w:rFonts w:ascii="Arial" w:hAnsi="Arial" w:cs="Arial"/>
              </w:rPr>
              <w:t>level terms including start date, end date, billing frequency and minimum commitment</w:t>
            </w:r>
          </w:p>
        </w:tc>
        <w:tc>
          <w:tcPr>
            <w:tcW w:w="3573" w:type="dxa"/>
          </w:tcPr>
          <w:p w14:paraId="1985E278" w14:textId="77777777" w:rsidR="00EC73D7" w:rsidRPr="0003219D" w:rsidRDefault="00000000">
            <w:pPr>
              <w:pStyle w:val="Compact"/>
              <w:rPr>
                <w:rFonts w:ascii="Arial" w:hAnsi="Arial" w:cs="Arial"/>
              </w:rPr>
            </w:pPr>
            <w:r w:rsidRPr="0003219D">
              <w:rPr>
                <w:rFonts w:ascii="Arial" w:hAnsi="Arial" w:cs="Arial"/>
              </w:rPr>
              <w:t xml:space="preserve">If these terms are only defined at the charge level, teams must manually reconstruct contract timelines from individual billing components. This increases the risk of mismatched renewal dates, </w:t>
            </w:r>
            <w:r w:rsidRPr="0003219D">
              <w:rPr>
                <w:rFonts w:ascii="Arial" w:hAnsi="Arial" w:cs="Arial"/>
              </w:rPr>
              <w:lastRenderedPageBreak/>
              <w:t>inaccurate minimum commitment calculations and inconsistent billing cadences across a single agreement.</w:t>
            </w:r>
          </w:p>
        </w:tc>
        <w:tc>
          <w:tcPr>
            <w:tcW w:w="2567" w:type="dxa"/>
          </w:tcPr>
          <w:p w14:paraId="404DD894" w14:textId="77777777" w:rsidR="00EC73D7" w:rsidRPr="0003219D" w:rsidRDefault="00EC73D7">
            <w:pPr>
              <w:pStyle w:val="Compact"/>
              <w:rPr>
                <w:rFonts w:ascii="Arial" w:hAnsi="Arial" w:cs="Arial"/>
              </w:rPr>
            </w:pPr>
          </w:p>
        </w:tc>
      </w:tr>
      <w:tr w:rsidR="00B9708E" w:rsidRPr="0003219D" w14:paraId="7AEBAAF9" w14:textId="77777777" w:rsidTr="00B9708E">
        <w:tc>
          <w:tcPr>
            <w:tcW w:w="807" w:type="dxa"/>
          </w:tcPr>
          <w:p w14:paraId="49B75560" w14:textId="77777777" w:rsidR="00EC73D7" w:rsidRPr="0003219D" w:rsidRDefault="00000000">
            <w:pPr>
              <w:pStyle w:val="Compact"/>
              <w:rPr>
                <w:rFonts w:ascii="Arial" w:hAnsi="Arial" w:cs="Arial"/>
              </w:rPr>
            </w:pPr>
            <w:r w:rsidRPr="0003219D">
              <w:rPr>
                <w:rFonts w:ascii="Arial" w:hAnsi="Arial" w:cs="Arial"/>
              </w:rPr>
              <w:t>2.2</w:t>
            </w:r>
          </w:p>
        </w:tc>
        <w:tc>
          <w:tcPr>
            <w:tcW w:w="2431" w:type="dxa"/>
          </w:tcPr>
          <w:p w14:paraId="195312ED" w14:textId="50C968F2" w:rsidR="00EC73D7" w:rsidRPr="0003219D" w:rsidRDefault="00000000">
            <w:pPr>
              <w:pStyle w:val="Compact"/>
              <w:rPr>
                <w:rFonts w:ascii="Arial" w:hAnsi="Arial" w:cs="Arial"/>
              </w:rPr>
            </w:pPr>
            <w:r w:rsidRPr="0003219D">
              <w:rPr>
                <w:rFonts w:ascii="Arial" w:hAnsi="Arial" w:cs="Arial"/>
              </w:rPr>
              <w:t>Support</w:t>
            </w:r>
            <w:r w:rsidR="004D18C8" w:rsidRPr="0003219D">
              <w:rPr>
                <w:rFonts w:ascii="Arial" w:hAnsi="Arial" w:cs="Arial"/>
              </w:rPr>
              <w:t>s</w:t>
            </w:r>
            <w:r w:rsidRPr="0003219D">
              <w:rPr>
                <w:rFonts w:ascii="Arial" w:hAnsi="Arial" w:cs="Arial"/>
              </w:rPr>
              <w:t xml:space="preserve"> multiple charge lines within a single subscription, each with distinct billing schedules</w:t>
            </w:r>
          </w:p>
        </w:tc>
        <w:tc>
          <w:tcPr>
            <w:tcW w:w="3573" w:type="dxa"/>
          </w:tcPr>
          <w:p w14:paraId="2309D9C7" w14:textId="77777777" w:rsidR="00EC73D7" w:rsidRPr="0003219D" w:rsidRDefault="00000000">
            <w:pPr>
              <w:pStyle w:val="Compact"/>
              <w:rPr>
                <w:rFonts w:ascii="Arial" w:hAnsi="Arial" w:cs="Arial"/>
              </w:rPr>
            </w:pPr>
            <w:r w:rsidRPr="0003219D">
              <w:rPr>
                <w:rFonts w:ascii="Arial" w:hAnsi="Arial" w:cs="Arial"/>
              </w:rPr>
              <w:t>When separate billing cadences require multiple subscription records, contract data becomes fragmented. Teams must merge invoices manually, reconcile billing terms across records and rebuild contract</w:t>
            </w:r>
            <w:r w:rsidRPr="0003219D">
              <w:rPr>
                <w:rFonts w:ascii="Cambria Math" w:hAnsi="Cambria Math" w:cs="Cambria Math"/>
              </w:rPr>
              <w:t>‑</w:t>
            </w:r>
            <w:r w:rsidRPr="0003219D">
              <w:rPr>
                <w:rFonts w:ascii="Arial" w:hAnsi="Arial" w:cs="Arial"/>
              </w:rPr>
              <w:t>level views for reporting and revenue recognition.</w:t>
            </w:r>
          </w:p>
        </w:tc>
        <w:tc>
          <w:tcPr>
            <w:tcW w:w="2567" w:type="dxa"/>
          </w:tcPr>
          <w:p w14:paraId="4BF46C4D" w14:textId="77777777" w:rsidR="00EC73D7" w:rsidRPr="0003219D" w:rsidRDefault="00EC73D7">
            <w:pPr>
              <w:pStyle w:val="Compact"/>
              <w:rPr>
                <w:rFonts w:ascii="Arial" w:hAnsi="Arial" w:cs="Arial"/>
              </w:rPr>
            </w:pPr>
          </w:p>
        </w:tc>
      </w:tr>
      <w:tr w:rsidR="00B9708E" w:rsidRPr="0003219D" w14:paraId="490CE9D4" w14:textId="77777777" w:rsidTr="00B9708E">
        <w:tc>
          <w:tcPr>
            <w:tcW w:w="807" w:type="dxa"/>
          </w:tcPr>
          <w:p w14:paraId="3E0B0CF7" w14:textId="77777777" w:rsidR="00EC73D7" w:rsidRPr="0003219D" w:rsidRDefault="00000000">
            <w:pPr>
              <w:pStyle w:val="Compact"/>
              <w:rPr>
                <w:rFonts w:ascii="Arial" w:hAnsi="Arial" w:cs="Arial"/>
              </w:rPr>
            </w:pPr>
            <w:r w:rsidRPr="0003219D">
              <w:rPr>
                <w:rFonts w:ascii="Arial" w:hAnsi="Arial" w:cs="Arial"/>
              </w:rPr>
              <w:t>2.3</w:t>
            </w:r>
          </w:p>
        </w:tc>
        <w:tc>
          <w:tcPr>
            <w:tcW w:w="2431" w:type="dxa"/>
          </w:tcPr>
          <w:p w14:paraId="48FD38F8" w14:textId="248772EC" w:rsidR="00EC73D7" w:rsidRPr="0003219D" w:rsidRDefault="004D18C8">
            <w:pPr>
              <w:pStyle w:val="Compact"/>
              <w:rPr>
                <w:rFonts w:ascii="Arial" w:hAnsi="Arial" w:cs="Arial"/>
              </w:rPr>
            </w:pPr>
            <w:r w:rsidRPr="0003219D">
              <w:rPr>
                <w:rFonts w:ascii="Arial" w:hAnsi="Arial" w:cs="Arial"/>
              </w:rPr>
              <w:t>Allows subscription modifications mid</w:t>
            </w:r>
            <w:r w:rsidRPr="0003219D">
              <w:rPr>
                <w:rFonts w:ascii="Cambria Math" w:hAnsi="Cambria Math" w:cs="Cambria Math"/>
              </w:rPr>
              <w:t>‑</w:t>
            </w:r>
            <w:r w:rsidRPr="0003219D">
              <w:rPr>
                <w:rFonts w:ascii="Arial" w:hAnsi="Arial" w:cs="Arial"/>
              </w:rPr>
              <w:t>term (e.g. price, quantity, product) without cancelling and re</w:t>
            </w:r>
            <w:r w:rsidRPr="0003219D">
              <w:rPr>
                <w:rFonts w:ascii="Cambria Math" w:hAnsi="Cambria Math" w:cs="Cambria Math"/>
              </w:rPr>
              <w:t>‑</w:t>
            </w:r>
            <w:r w:rsidRPr="0003219D">
              <w:rPr>
                <w:rFonts w:ascii="Arial" w:hAnsi="Arial" w:cs="Arial"/>
              </w:rPr>
              <w:t>creating the record</w:t>
            </w:r>
          </w:p>
        </w:tc>
        <w:tc>
          <w:tcPr>
            <w:tcW w:w="3573" w:type="dxa"/>
          </w:tcPr>
          <w:p w14:paraId="357F68BF" w14:textId="43309D36" w:rsidR="00EC73D7" w:rsidRPr="0003219D" w:rsidRDefault="00000000">
            <w:pPr>
              <w:pStyle w:val="Compact"/>
              <w:rPr>
                <w:rFonts w:ascii="Arial" w:hAnsi="Arial" w:cs="Arial"/>
              </w:rPr>
            </w:pPr>
            <w:r w:rsidRPr="0003219D">
              <w:rPr>
                <w:rFonts w:ascii="Arial" w:hAnsi="Arial" w:cs="Arial"/>
              </w:rPr>
              <w:t xml:space="preserve">Cancel/rebook logic creates disconnected contract records, which require manual intervention to carry forward committed terms, realign revenue </w:t>
            </w:r>
            <w:r w:rsidR="00B442B8" w:rsidRPr="0003219D">
              <w:rPr>
                <w:rFonts w:ascii="Arial" w:hAnsi="Arial" w:cs="Arial"/>
              </w:rPr>
              <w:t>schedules</w:t>
            </w:r>
            <w:r w:rsidRPr="0003219D">
              <w:rPr>
                <w:rFonts w:ascii="Arial" w:hAnsi="Arial" w:cs="Arial"/>
              </w:rPr>
              <w:t xml:space="preserve"> and preserve historical billing context.</w:t>
            </w:r>
          </w:p>
        </w:tc>
        <w:tc>
          <w:tcPr>
            <w:tcW w:w="2567" w:type="dxa"/>
          </w:tcPr>
          <w:p w14:paraId="73E23B61" w14:textId="77777777" w:rsidR="00EC73D7" w:rsidRPr="0003219D" w:rsidRDefault="00EC73D7">
            <w:pPr>
              <w:pStyle w:val="Compact"/>
              <w:rPr>
                <w:rFonts w:ascii="Arial" w:hAnsi="Arial" w:cs="Arial"/>
              </w:rPr>
            </w:pPr>
          </w:p>
        </w:tc>
      </w:tr>
      <w:tr w:rsidR="00B9708E" w:rsidRPr="0003219D" w14:paraId="6CB9FADC" w14:textId="77777777" w:rsidTr="00B9708E">
        <w:tc>
          <w:tcPr>
            <w:tcW w:w="807" w:type="dxa"/>
          </w:tcPr>
          <w:p w14:paraId="0F7351F2" w14:textId="77777777" w:rsidR="00EC73D7" w:rsidRPr="0003219D" w:rsidRDefault="00000000">
            <w:pPr>
              <w:pStyle w:val="Compact"/>
              <w:rPr>
                <w:rFonts w:ascii="Arial" w:hAnsi="Arial" w:cs="Arial"/>
              </w:rPr>
            </w:pPr>
            <w:r w:rsidRPr="0003219D">
              <w:rPr>
                <w:rFonts w:ascii="Arial" w:hAnsi="Arial" w:cs="Arial"/>
              </w:rPr>
              <w:t>2.4</w:t>
            </w:r>
          </w:p>
        </w:tc>
        <w:tc>
          <w:tcPr>
            <w:tcW w:w="2431" w:type="dxa"/>
          </w:tcPr>
          <w:p w14:paraId="561B61EB" w14:textId="53EDD448" w:rsidR="00EC73D7" w:rsidRPr="0003219D" w:rsidRDefault="00000000">
            <w:pPr>
              <w:pStyle w:val="Compact"/>
              <w:rPr>
                <w:rFonts w:ascii="Arial" w:hAnsi="Arial" w:cs="Arial"/>
              </w:rPr>
            </w:pPr>
            <w:r w:rsidRPr="0003219D">
              <w:rPr>
                <w:rFonts w:ascii="Arial" w:hAnsi="Arial" w:cs="Arial"/>
              </w:rPr>
              <w:t>Appl</w:t>
            </w:r>
            <w:r w:rsidR="004D18C8" w:rsidRPr="0003219D">
              <w:rPr>
                <w:rFonts w:ascii="Arial" w:hAnsi="Arial" w:cs="Arial"/>
              </w:rPr>
              <w:t>ies</w:t>
            </w:r>
            <w:r w:rsidRPr="0003219D">
              <w:rPr>
                <w:rFonts w:ascii="Arial" w:hAnsi="Arial" w:cs="Arial"/>
              </w:rPr>
              <w:t xml:space="preserve"> effective dates for subscription changes that differ from approval or billing dates</w:t>
            </w:r>
          </w:p>
        </w:tc>
        <w:tc>
          <w:tcPr>
            <w:tcW w:w="3573" w:type="dxa"/>
          </w:tcPr>
          <w:p w14:paraId="73884644" w14:textId="77777777" w:rsidR="00EC73D7" w:rsidRPr="0003219D" w:rsidRDefault="00000000">
            <w:pPr>
              <w:pStyle w:val="Compact"/>
              <w:rPr>
                <w:rFonts w:ascii="Arial" w:hAnsi="Arial" w:cs="Arial"/>
              </w:rPr>
            </w:pPr>
            <w:r w:rsidRPr="0003219D">
              <w:rPr>
                <w:rFonts w:ascii="Arial" w:hAnsi="Arial" w:cs="Arial"/>
              </w:rPr>
              <w:t>Systems that lack effective dating force billing teams to issue off</w:t>
            </w:r>
            <w:r w:rsidRPr="0003219D">
              <w:rPr>
                <w:rFonts w:ascii="Cambria Math" w:hAnsi="Cambria Math" w:cs="Cambria Math"/>
              </w:rPr>
              <w:t>‑</w:t>
            </w:r>
            <w:r w:rsidRPr="0003219D">
              <w:rPr>
                <w:rFonts w:ascii="Arial" w:hAnsi="Arial" w:cs="Arial"/>
              </w:rPr>
              <w:t>cycle credits and rebills or manage timing changes in spreadsheets – introducing delays, audit complications and the risk of billing customers incorrectly.</w:t>
            </w:r>
          </w:p>
        </w:tc>
        <w:tc>
          <w:tcPr>
            <w:tcW w:w="2567" w:type="dxa"/>
          </w:tcPr>
          <w:p w14:paraId="4DFC8CFF" w14:textId="77777777" w:rsidR="00EC73D7" w:rsidRPr="0003219D" w:rsidRDefault="00EC73D7">
            <w:pPr>
              <w:pStyle w:val="Compact"/>
              <w:rPr>
                <w:rFonts w:ascii="Arial" w:hAnsi="Arial" w:cs="Arial"/>
              </w:rPr>
            </w:pPr>
          </w:p>
        </w:tc>
      </w:tr>
      <w:tr w:rsidR="00B9708E" w:rsidRPr="0003219D" w14:paraId="17620823" w14:textId="77777777" w:rsidTr="00B9708E">
        <w:tc>
          <w:tcPr>
            <w:tcW w:w="807" w:type="dxa"/>
          </w:tcPr>
          <w:p w14:paraId="35D9BD2A" w14:textId="77777777" w:rsidR="00EC73D7" w:rsidRPr="0003219D" w:rsidRDefault="00000000">
            <w:pPr>
              <w:pStyle w:val="Compact"/>
              <w:rPr>
                <w:rFonts w:ascii="Arial" w:hAnsi="Arial" w:cs="Arial"/>
              </w:rPr>
            </w:pPr>
            <w:r w:rsidRPr="0003219D">
              <w:rPr>
                <w:rFonts w:ascii="Arial" w:hAnsi="Arial" w:cs="Arial"/>
              </w:rPr>
              <w:t>2.5</w:t>
            </w:r>
          </w:p>
        </w:tc>
        <w:tc>
          <w:tcPr>
            <w:tcW w:w="2431" w:type="dxa"/>
          </w:tcPr>
          <w:p w14:paraId="7D3AB5D1" w14:textId="65F5A9A4" w:rsidR="00EC73D7" w:rsidRPr="0003219D" w:rsidRDefault="00000000">
            <w:pPr>
              <w:pStyle w:val="Compact"/>
              <w:rPr>
                <w:rFonts w:ascii="Arial" w:hAnsi="Arial" w:cs="Arial"/>
              </w:rPr>
            </w:pPr>
            <w:r w:rsidRPr="0003219D">
              <w:rPr>
                <w:rFonts w:ascii="Arial" w:hAnsi="Arial" w:cs="Arial"/>
              </w:rPr>
              <w:t>Maintain</w:t>
            </w:r>
            <w:r w:rsidR="004D18C8" w:rsidRPr="0003219D">
              <w:rPr>
                <w:rFonts w:ascii="Arial" w:hAnsi="Arial" w:cs="Arial"/>
              </w:rPr>
              <w:t>s</w:t>
            </w:r>
            <w:r w:rsidRPr="0003219D">
              <w:rPr>
                <w:rFonts w:ascii="Arial" w:hAnsi="Arial" w:cs="Arial"/>
              </w:rPr>
              <w:t xml:space="preserve"> a full version history of subscription changes, including all amendments</w:t>
            </w:r>
          </w:p>
        </w:tc>
        <w:tc>
          <w:tcPr>
            <w:tcW w:w="3573" w:type="dxa"/>
          </w:tcPr>
          <w:p w14:paraId="505E10A8" w14:textId="77777777" w:rsidR="00EC73D7" w:rsidRPr="0003219D" w:rsidRDefault="00000000">
            <w:pPr>
              <w:pStyle w:val="Compact"/>
              <w:rPr>
                <w:rFonts w:ascii="Arial" w:hAnsi="Arial" w:cs="Arial"/>
              </w:rPr>
            </w:pPr>
            <w:r w:rsidRPr="0003219D">
              <w:rPr>
                <w:rFonts w:ascii="Arial" w:hAnsi="Arial" w:cs="Arial"/>
              </w:rPr>
              <w:t>When subscription changes overwrite prior data or aren’t linked to the original record, it becomes difficult to justify billing outcomes, respond to contract disputes or meet audit requirements for change traceability.</w:t>
            </w:r>
          </w:p>
        </w:tc>
        <w:tc>
          <w:tcPr>
            <w:tcW w:w="2567" w:type="dxa"/>
          </w:tcPr>
          <w:p w14:paraId="43B1CF14" w14:textId="77777777" w:rsidR="00EC73D7" w:rsidRPr="0003219D" w:rsidRDefault="00EC73D7">
            <w:pPr>
              <w:pStyle w:val="Compact"/>
              <w:rPr>
                <w:rFonts w:ascii="Arial" w:hAnsi="Arial" w:cs="Arial"/>
              </w:rPr>
            </w:pPr>
          </w:p>
        </w:tc>
      </w:tr>
      <w:tr w:rsidR="00B9708E" w:rsidRPr="0003219D" w14:paraId="1C33241D" w14:textId="77777777" w:rsidTr="00B9708E">
        <w:tc>
          <w:tcPr>
            <w:tcW w:w="807" w:type="dxa"/>
          </w:tcPr>
          <w:p w14:paraId="26DEE056" w14:textId="77777777" w:rsidR="00EC73D7" w:rsidRPr="0003219D" w:rsidRDefault="00000000">
            <w:pPr>
              <w:pStyle w:val="Compact"/>
              <w:rPr>
                <w:rFonts w:ascii="Arial" w:hAnsi="Arial" w:cs="Arial"/>
              </w:rPr>
            </w:pPr>
            <w:r w:rsidRPr="0003219D">
              <w:rPr>
                <w:rFonts w:ascii="Arial" w:hAnsi="Arial" w:cs="Arial"/>
              </w:rPr>
              <w:t>2.6</w:t>
            </w:r>
          </w:p>
        </w:tc>
        <w:tc>
          <w:tcPr>
            <w:tcW w:w="2431" w:type="dxa"/>
          </w:tcPr>
          <w:p w14:paraId="4F5110DE" w14:textId="1C79F077" w:rsidR="00EC73D7" w:rsidRPr="0003219D" w:rsidRDefault="00000000">
            <w:pPr>
              <w:pStyle w:val="Compact"/>
              <w:rPr>
                <w:rFonts w:ascii="Arial" w:hAnsi="Arial" w:cs="Arial"/>
              </w:rPr>
            </w:pPr>
            <w:r w:rsidRPr="0003219D">
              <w:rPr>
                <w:rFonts w:ascii="Arial" w:hAnsi="Arial" w:cs="Arial"/>
              </w:rPr>
              <w:t>Support</w:t>
            </w:r>
            <w:r w:rsidR="004D18C8" w:rsidRPr="0003219D">
              <w:rPr>
                <w:rFonts w:ascii="Arial" w:hAnsi="Arial" w:cs="Arial"/>
              </w:rPr>
              <w:t>s</w:t>
            </w:r>
            <w:r w:rsidRPr="0003219D">
              <w:rPr>
                <w:rFonts w:ascii="Arial" w:hAnsi="Arial" w:cs="Arial"/>
              </w:rPr>
              <w:t xml:space="preserve"> renewal terms that differ from original contract terms (e.g. evergreen </w:t>
            </w:r>
            <w:r w:rsidRPr="0003219D">
              <w:rPr>
                <w:rFonts w:ascii="Arial" w:hAnsi="Arial" w:cs="Arial"/>
              </w:rPr>
              <w:lastRenderedPageBreak/>
              <w:t>renewals after fixed initial term)</w:t>
            </w:r>
          </w:p>
        </w:tc>
        <w:tc>
          <w:tcPr>
            <w:tcW w:w="3573" w:type="dxa"/>
          </w:tcPr>
          <w:p w14:paraId="7400F561" w14:textId="77777777" w:rsidR="00EC73D7" w:rsidRPr="0003219D" w:rsidRDefault="00000000">
            <w:pPr>
              <w:pStyle w:val="Compact"/>
              <w:rPr>
                <w:rFonts w:ascii="Arial" w:hAnsi="Arial" w:cs="Arial"/>
              </w:rPr>
            </w:pPr>
            <w:r w:rsidRPr="0003219D">
              <w:rPr>
                <w:rFonts w:ascii="Arial" w:hAnsi="Arial" w:cs="Arial"/>
              </w:rPr>
              <w:lastRenderedPageBreak/>
              <w:t xml:space="preserve">If renewal logic defaults to copying prior terms, teams must manually reconfigure records to reflect new structures. This slows down the renewal process and </w:t>
            </w:r>
            <w:r w:rsidRPr="0003219D">
              <w:rPr>
                <w:rFonts w:ascii="Arial" w:hAnsi="Arial" w:cs="Arial"/>
              </w:rPr>
              <w:lastRenderedPageBreak/>
              <w:t>increases the risk of billing on outdated terms.</w:t>
            </w:r>
          </w:p>
        </w:tc>
        <w:tc>
          <w:tcPr>
            <w:tcW w:w="2567" w:type="dxa"/>
          </w:tcPr>
          <w:p w14:paraId="63D2772F" w14:textId="77777777" w:rsidR="00EC73D7" w:rsidRPr="0003219D" w:rsidRDefault="00EC73D7">
            <w:pPr>
              <w:pStyle w:val="Compact"/>
              <w:rPr>
                <w:rFonts w:ascii="Arial" w:hAnsi="Arial" w:cs="Arial"/>
              </w:rPr>
            </w:pPr>
          </w:p>
        </w:tc>
      </w:tr>
      <w:tr w:rsidR="00B9708E" w:rsidRPr="0003219D" w14:paraId="63D16549" w14:textId="77777777" w:rsidTr="00B9708E">
        <w:tc>
          <w:tcPr>
            <w:tcW w:w="807" w:type="dxa"/>
          </w:tcPr>
          <w:p w14:paraId="70FD1E6F" w14:textId="77777777" w:rsidR="00EC73D7" w:rsidRPr="0003219D" w:rsidRDefault="00000000">
            <w:pPr>
              <w:pStyle w:val="Compact"/>
              <w:rPr>
                <w:rFonts w:ascii="Arial" w:hAnsi="Arial" w:cs="Arial"/>
              </w:rPr>
            </w:pPr>
            <w:r w:rsidRPr="0003219D">
              <w:rPr>
                <w:rFonts w:ascii="Arial" w:hAnsi="Arial" w:cs="Arial"/>
              </w:rPr>
              <w:t>2.7</w:t>
            </w:r>
          </w:p>
        </w:tc>
        <w:tc>
          <w:tcPr>
            <w:tcW w:w="2431" w:type="dxa"/>
          </w:tcPr>
          <w:p w14:paraId="3985877A" w14:textId="0D0AD0B0" w:rsidR="00EC73D7" w:rsidRPr="0003219D" w:rsidRDefault="00000000">
            <w:pPr>
              <w:pStyle w:val="Compact"/>
              <w:rPr>
                <w:rFonts w:ascii="Arial" w:hAnsi="Arial" w:cs="Arial"/>
              </w:rPr>
            </w:pPr>
            <w:r w:rsidRPr="0003219D">
              <w:rPr>
                <w:rFonts w:ascii="Arial" w:hAnsi="Arial" w:cs="Arial"/>
              </w:rPr>
              <w:t>Automate</w:t>
            </w:r>
            <w:r w:rsidR="004D18C8" w:rsidRPr="0003219D">
              <w:rPr>
                <w:rFonts w:ascii="Arial" w:hAnsi="Arial" w:cs="Arial"/>
              </w:rPr>
              <w:t>s</w:t>
            </w:r>
            <w:r w:rsidRPr="0003219D">
              <w:rPr>
                <w:rFonts w:ascii="Arial" w:hAnsi="Arial" w:cs="Arial"/>
              </w:rPr>
              <w:t xml:space="preserve"> creation of renewal records or renewal opportunities</w:t>
            </w:r>
          </w:p>
        </w:tc>
        <w:tc>
          <w:tcPr>
            <w:tcW w:w="3573" w:type="dxa"/>
          </w:tcPr>
          <w:p w14:paraId="52AB3699" w14:textId="77777777" w:rsidR="00EC73D7" w:rsidRPr="0003219D" w:rsidRDefault="00000000">
            <w:pPr>
              <w:pStyle w:val="Compact"/>
              <w:rPr>
                <w:rFonts w:ascii="Arial" w:hAnsi="Arial" w:cs="Arial"/>
              </w:rPr>
            </w:pPr>
            <w:r w:rsidRPr="0003219D">
              <w:rPr>
                <w:rFonts w:ascii="Arial" w:hAnsi="Arial" w:cs="Arial"/>
              </w:rPr>
              <w:t>Without automation, renewals depend on CRM workflows or manual calendar tracking. This can lead to lapsed contracts, revenue leakage or inconsistent renewal terms across customers.</w:t>
            </w:r>
          </w:p>
        </w:tc>
        <w:tc>
          <w:tcPr>
            <w:tcW w:w="2567" w:type="dxa"/>
          </w:tcPr>
          <w:p w14:paraId="0D5A7F46" w14:textId="77777777" w:rsidR="00EC73D7" w:rsidRPr="0003219D" w:rsidRDefault="00EC73D7">
            <w:pPr>
              <w:pStyle w:val="Compact"/>
              <w:rPr>
                <w:rFonts w:ascii="Arial" w:hAnsi="Arial" w:cs="Arial"/>
              </w:rPr>
            </w:pPr>
          </w:p>
        </w:tc>
      </w:tr>
      <w:tr w:rsidR="00B9708E" w:rsidRPr="0003219D" w14:paraId="7A680EF8" w14:textId="77777777" w:rsidTr="00B9708E">
        <w:tc>
          <w:tcPr>
            <w:tcW w:w="807" w:type="dxa"/>
          </w:tcPr>
          <w:p w14:paraId="73279EF2" w14:textId="77777777" w:rsidR="00EC73D7" w:rsidRPr="0003219D" w:rsidRDefault="00000000">
            <w:pPr>
              <w:pStyle w:val="Compact"/>
              <w:rPr>
                <w:rFonts w:ascii="Arial" w:hAnsi="Arial" w:cs="Arial"/>
              </w:rPr>
            </w:pPr>
            <w:r w:rsidRPr="0003219D">
              <w:rPr>
                <w:rFonts w:ascii="Arial" w:hAnsi="Arial" w:cs="Arial"/>
              </w:rPr>
              <w:t>2.8</w:t>
            </w:r>
          </w:p>
        </w:tc>
        <w:tc>
          <w:tcPr>
            <w:tcW w:w="2431" w:type="dxa"/>
          </w:tcPr>
          <w:p w14:paraId="5209ACAA" w14:textId="72F4A00A" w:rsidR="00EC73D7" w:rsidRPr="0003219D" w:rsidRDefault="00000000">
            <w:pPr>
              <w:pStyle w:val="Compact"/>
              <w:rPr>
                <w:rFonts w:ascii="Arial" w:hAnsi="Arial" w:cs="Arial"/>
              </w:rPr>
            </w:pPr>
            <w:r w:rsidRPr="0003219D">
              <w:rPr>
                <w:rFonts w:ascii="Arial" w:hAnsi="Arial" w:cs="Arial"/>
              </w:rPr>
              <w:t>Link</w:t>
            </w:r>
            <w:r w:rsidR="004D18C8" w:rsidRPr="0003219D">
              <w:rPr>
                <w:rFonts w:ascii="Arial" w:hAnsi="Arial" w:cs="Arial"/>
              </w:rPr>
              <w:t>s</w:t>
            </w:r>
            <w:r w:rsidRPr="0003219D">
              <w:rPr>
                <w:rFonts w:ascii="Arial" w:hAnsi="Arial" w:cs="Arial"/>
              </w:rPr>
              <w:t xml:space="preserve"> subscription amendments to the original contract to preserve lifecycle traceability</w:t>
            </w:r>
          </w:p>
        </w:tc>
        <w:tc>
          <w:tcPr>
            <w:tcW w:w="3573" w:type="dxa"/>
          </w:tcPr>
          <w:p w14:paraId="5831CE3F" w14:textId="77777777" w:rsidR="00EC73D7" w:rsidRPr="0003219D" w:rsidRDefault="00000000">
            <w:pPr>
              <w:pStyle w:val="Compact"/>
              <w:rPr>
                <w:rFonts w:ascii="Arial" w:hAnsi="Arial" w:cs="Arial"/>
              </w:rPr>
            </w:pPr>
            <w:r w:rsidRPr="0003219D">
              <w:rPr>
                <w:rFonts w:ascii="Arial" w:hAnsi="Arial" w:cs="Arial"/>
              </w:rPr>
              <w:t>When changes are tracked in standalone records without system linkage, contract history must be pieced together manually. This limits visibility for finance, increases audit effort and makes contract evolution hard to explain.</w:t>
            </w:r>
          </w:p>
        </w:tc>
        <w:tc>
          <w:tcPr>
            <w:tcW w:w="2567" w:type="dxa"/>
          </w:tcPr>
          <w:p w14:paraId="09C23496" w14:textId="77777777" w:rsidR="00EC73D7" w:rsidRPr="0003219D" w:rsidRDefault="00EC73D7">
            <w:pPr>
              <w:pStyle w:val="Compact"/>
              <w:rPr>
                <w:rFonts w:ascii="Arial" w:hAnsi="Arial" w:cs="Arial"/>
              </w:rPr>
            </w:pPr>
          </w:p>
        </w:tc>
      </w:tr>
      <w:tr w:rsidR="00B9708E" w:rsidRPr="0003219D" w14:paraId="0214E3D3" w14:textId="77777777" w:rsidTr="00B9708E">
        <w:tc>
          <w:tcPr>
            <w:tcW w:w="807" w:type="dxa"/>
          </w:tcPr>
          <w:p w14:paraId="05132DF1" w14:textId="77777777" w:rsidR="00EC73D7" w:rsidRPr="0003219D" w:rsidRDefault="00000000">
            <w:pPr>
              <w:pStyle w:val="Compact"/>
              <w:rPr>
                <w:rFonts w:ascii="Arial" w:hAnsi="Arial" w:cs="Arial"/>
              </w:rPr>
            </w:pPr>
            <w:r w:rsidRPr="0003219D">
              <w:rPr>
                <w:rFonts w:ascii="Arial" w:hAnsi="Arial" w:cs="Arial"/>
              </w:rPr>
              <w:t>2.9</w:t>
            </w:r>
          </w:p>
        </w:tc>
        <w:tc>
          <w:tcPr>
            <w:tcW w:w="2431" w:type="dxa"/>
          </w:tcPr>
          <w:p w14:paraId="4BD6351E" w14:textId="2DAC9100" w:rsidR="00EC73D7" w:rsidRPr="0003219D" w:rsidRDefault="00000000">
            <w:pPr>
              <w:pStyle w:val="Compact"/>
              <w:rPr>
                <w:rFonts w:ascii="Arial" w:hAnsi="Arial" w:cs="Arial"/>
              </w:rPr>
            </w:pPr>
            <w:r w:rsidRPr="0003219D">
              <w:rPr>
                <w:rFonts w:ascii="Arial" w:hAnsi="Arial" w:cs="Arial"/>
              </w:rPr>
              <w:t>Support</w:t>
            </w:r>
            <w:r w:rsidR="004D18C8" w:rsidRPr="0003219D">
              <w:rPr>
                <w:rFonts w:ascii="Arial" w:hAnsi="Arial" w:cs="Arial"/>
              </w:rPr>
              <w:t>s</w:t>
            </w:r>
            <w:r w:rsidRPr="0003219D">
              <w:rPr>
                <w:rFonts w:ascii="Arial" w:hAnsi="Arial" w:cs="Arial"/>
              </w:rPr>
              <w:t xml:space="preserve"> policy</w:t>
            </w:r>
            <w:r w:rsidRPr="0003219D">
              <w:rPr>
                <w:rFonts w:ascii="Cambria Math" w:hAnsi="Cambria Math" w:cs="Cambria Math"/>
              </w:rPr>
              <w:t>‑</w:t>
            </w:r>
            <w:r w:rsidRPr="0003219D">
              <w:rPr>
                <w:rFonts w:ascii="Arial" w:hAnsi="Arial" w:cs="Arial"/>
              </w:rPr>
              <w:t>driven contract ramps without cloning subscriptions</w:t>
            </w:r>
          </w:p>
        </w:tc>
        <w:tc>
          <w:tcPr>
            <w:tcW w:w="3573" w:type="dxa"/>
          </w:tcPr>
          <w:p w14:paraId="73C08D12" w14:textId="39E9E024" w:rsidR="00EC73D7" w:rsidRPr="0003219D" w:rsidRDefault="00DE1097">
            <w:pPr>
              <w:pStyle w:val="Compact"/>
              <w:rPr>
                <w:rFonts w:ascii="Arial" w:hAnsi="Arial" w:cs="Arial"/>
              </w:rPr>
            </w:pPr>
            <w:r w:rsidRPr="0003219D">
              <w:rPr>
                <w:rFonts w:ascii="Arial" w:hAnsi="Arial" w:cs="Arial"/>
              </w:rPr>
              <w:t>Without native ramp logic, finance teams must split a single multi</w:t>
            </w:r>
            <w:r w:rsidRPr="0003219D">
              <w:rPr>
                <w:rFonts w:ascii="Arial" w:hAnsi="Arial" w:cs="Arial"/>
              </w:rPr>
              <w:noBreakHyphen/>
              <w:t>year contract into multiple subscriptions or rely on manual change orders for each scheduled increase. This fragments data, complicates reporting on TCV and ARR, creates compliance risk in ARM and increases the chance of billing errors or missed uplifts.</w:t>
            </w:r>
          </w:p>
        </w:tc>
        <w:tc>
          <w:tcPr>
            <w:tcW w:w="2567" w:type="dxa"/>
          </w:tcPr>
          <w:p w14:paraId="3CF0EF30" w14:textId="77777777" w:rsidR="00EC73D7" w:rsidRPr="0003219D" w:rsidRDefault="00EC73D7">
            <w:pPr>
              <w:pStyle w:val="Compact"/>
              <w:rPr>
                <w:rFonts w:ascii="Arial" w:hAnsi="Arial" w:cs="Arial"/>
              </w:rPr>
            </w:pPr>
          </w:p>
        </w:tc>
      </w:tr>
      <w:tr w:rsidR="00784406" w:rsidRPr="0003219D" w14:paraId="265D90C6" w14:textId="77777777" w:rsidTr="00B9708E">
        <w:tc>
          <w:tcPr>
            <w:tcW w:w="807" w:type="dxa"/>
          </w:tcPr>
          <w:p w14:paraId="46B0D535" w14:textId="434E6934" w:rsidR="00784406" w:rsidRPr="0003219D" w:rsidRDefault="00784406">
            <w:pPr>
              <w:pStyle w:val="Compact"/>
              <w:rPr>
                <w:rFonts w:ascii="Arial" w:hAnsi="Arial" w:cs="Arial"/>
              </w:rPr>
            </w:pPr>
            <w:r w:rsidRPr="0003219D">
              <w:rPr>
                <w:rFonts w:ascii="Arial" w:hAnsi="Arial" w:cs="Arial"/>
              </w:rPr>
              <w:t>2.10</w:t>
            </w:r>
          </w:p>
        </w:tc>
        <w:tc>
          <w:tcPr>
            <w:tcW w:w="2431" w:type="dxa"/>
          </w:tcPr>
          <w:p w14:paraId="08F02966" w14:textId="50438018" w:rsidR="00784406" w:rsidRPr="0003219D" w:rsidRDefault="00784406">
            <w:pPr>
              <w:pStyle w:val="Compact"/>
              <w:rPr>
                <w:rFonts w:ascii="Arial" w:hAnsi="Arial" w:cs="Arial"/>
              </w:rPr>
            </w:pPr>
            <w:r w:rsidRPr="0003219D">
              <w:rPr>
                <w:rFonts w:ascii="Arial" w:hAnsi="Arial" w:cs="Arial"/>
              </w:rPr>
              <w:t>Centralize</w:t>
            </w:r>
            <w:r w:rsidR="004D18C8" w:rsidRPr="0003219D">
              <w:rPr>
                <w:rFonts w:ascii="Arial" w:hAnsi="Arial" w:cs="Arial"/>
              </w:rPr>
              <w:t>s</w:t>
            </w:r>
            <w:r w:rsidRPr="0003219D">
              <w:rPr>
                <w:rFonts w:ascii="Arial" w:hAnsi="Arial" w:cs="Arial"/>
              </w:rPr>
              <w:t xml:space="preserve"> renewal uplift policies, including index-based, percentage and flat-dollar rules</w:t>
            </w:r>
          </w:p>
        </w:tc>
        <w:tc>
          <w:tcPr>
            <w:tcW w:w="3573" w:type="dxa"/>
          </w:tcPr>
          <w:p w14:paraId="0070EB0D" w14:textId="0D3BDE47" w:rsidR="00784406" w:rsidRPr="0003219D" w:rsidRDefault="00DE1097">
            <w:pPr>
              <w:pStyle w:val="Compact"/>
              <w:rPr>
                <w:rFonts w:ascii="Arial" w:hAnsi="Arial" w:cs="Arial"/>
              </w:rPr>
            </w:pPr>
            <w:r w:rsidRPr="0003219D">
              <w:rPr>
                <w:rFonts w:ascii="Arial" w:hAnsi="Arial" w:cs="Arial"/>
              </w:rPr>
              <w:t>If uplift policies aren’t automated and centralized, teams are forced to track and apply increases manually at renewal. This leads to revenue leakage, contract non</w:t>
            </w:r>
            <w:r w:rsidRPr="0003219D">
              <w:rPr>
                <w:rFonts w:ascii="Arial" w:hAnsi="Arial" w:cs="Arial"/>
              </w:rPr>
              <w:noBreakHyphen/>
              <w:t>compliance, and inconsistent pricing across customers. A key requirement here is the ability to reference authoritative CPI or index data sources.</w:t>
            </w:r>
          </w:p>
        </w:tc>
        <w:tc>
          <w:tcPr>
            <w:tcW w:w="2567" w:type="dxa"/>
          </w:tcPr>
          <w:p w14:paraId="06F5FFA8" w14:textId="77777777" w:rsidR="00784406" w:rsidRPr="0003219D" w:rsidRDefault="00784406">
            <w:pPr>
              <w:pStyle w:val="Compact"/>
              <w:rPr>
                <w:rFonts w:ascii="Arial" w:hAnsi="Arial" w:cs="Arial"/>
              </w:rPr>
            </w:pPr>
          </w:p>
        </w:tc>
      </w:tr>
    </w:tbl>
    <w:p w14:paraId="7674D1E4" w14:textId="20B4C759" w:rsidR="00EC73D7" w:rsidRPr="0003219D" w:rsidRDefault="00EC73D7">
      <w:pPr>
        <w:rPr>
          <w:rFonts w:ascii="Arial" w:hAnsi="Arial" w:cs="Arial"/>
        </w:rPr>
      </w:pPr>
    </w:p>
    <w:p w14:paraId="7AA51987" w14:textId="77777777" w:rsidR="00EC73D7" w:rsidRPr="0003219D" w:rsidRDefault="00000000">
      <w:pPr>
        <w:pStyle w:val="Heading1"/>
        <w:rPr>
          <w:rFonts w:ascii="Arial" w:hAnsi="Arial" w:cs="Arial"/>
        </w:rPr>
      </w:pPr>
      <w:bookmarkStart w:id="8" w:name="section-3-usagebased-and-complex-billing"/>
      <w:bookmarkEnd w:id="7"/>
      <w:r w:rsidRPr="0003219D">
        <w:rPr>
          <w:rFonts w:ascii="Arial" w:hAnsi="Arial" w:cs="Arial"/>
        </w:rPr>
        <w:lastRenderedPageBreak/>
        <w:t>Section 3: Usage</w:t>
      </w:r>
      <w:r w:rsidRPr="0003219D">
        <w:rPr>
          <w:rFonts w:ascii="Cambria Math" w:hAnsi="Cambria Math" w:cs="Cambria Math"/>
        </w:rPr>
        <w:t>‑</w:t>
      </w:r>
      <w:r w:rsidRPr="0003219D">
        <w:rPr>
          <w:rFonts w:ascii="Arial" w:hAnsi="Arial" w:cs="Arial"/>
        </w:rPr>
        <w:t>based and complex billing</w:t>
      </w:r>
    </w:p>
    <w:p w14:paraId="2AD150FF" w14:textId="41AD03A5" w:rsidR="00EC73D7" w:rsidRPr="0003219D" w:rsidRDefault="000347CA">
      <w:pPr>
        <w:pStyle w:val="FirstParagraph"/>
        <w:rPr>
          <w:rFonts w:ascii="Arial" w:hAnsi="Arial" w:cs="Arial"/>
        </w:rPr>
      </w:pPr>
      <w:r w:rsidRPr="0003219D">
        <w:rPr>
          <w:rFonts w:ascii="Arial" w:hAnsi="Arial" w:cs="Arial"/>
        </w:rPr>
        <w:t>Usage billing introduces complexity around data ingestion, real-time rating, prepaid management and pooled consumption. Systems must handle these differences without forcing manual reconciliation, data flattening or compliance workarounds.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40"/>
        <w:gridCol w:w="2372"/>
        <w:gridCol w:w="3512"/>
        <w:gridCol w:w="2533"/>
      </w:tblGrid>
      <w:tr w:rsidR="00B9708E" w:rsidRPr="0003219D" w14:paraId="1C82F7C4" w14:textId="77777777" w:rsidTr="00DE1097">
        <w:trPr>
          <w:cnfStyle w:val="100000000000" w:firstRow="1" w:lastRow="0" w:firstColumn="0" w:lastColumn="0" w:oddVBand="0" w:evenVBand="0" w:oddHBand="0" w:evenHBand="0" w:firstRowFirstColumn="0" w:firstRowLastColumn="0" w:lastRowFirstColumn="0" w:lastRowLastColumn="0"/>
          <w:tblHeader/>
        </w:trPr>
        <w:tc>
          <w:tcPr>
            <w:tcW w:w="740" w:type="dxa"/>
          </w:tcPr>
          <w:p w14:paraId="3B1D1157" w14:textId="77777777" w:rsidR="00EC73D7" w:rsidRPr="0003219D" w:rsidRDefault="00000000">
            <w:pPr>
              <w:pStyle w:val="Compact"/>
              <w:rPr>
                <w:rFonts w:ascii="Arial" w:hAnsi="Arial" w:cs="Arial"/>
              </w:rPr>
            </w:pPr>
            <w:r w:rsidRPr="0003219D">
              <w:rPr>
                <w:rFonts w:ascii="Arial" w:hAnsi="Arial" w:cs="Arial"/>
              </w:rPr>
              <w:t>Ref</w:t>
            </w:r>
          </w:p>
        </w:tc>
        <w:tc>
          <w:tcPr>
            <w:tcW w:w="2372" w:type="dxa"/>
          </w:tcPr>
          <w:p w14:paraId="652F141D" w14:textId="77777777" w:rsidR="00EC73D7" w:rsidRPr="0003219D" w:rsidRDefault="00000000">
            <w:pPr>
              <w:pStyle w:val="Compact"/>
              <w:rPr>
                <w:rFonts w:ascii="Arial" w:hAnsi="Arial" w:cs="Arial"/>
              </w:rPr>
            </w:pPr>
            <w:r w:rsidRPr="0003219D">
              <w:rPr>
                <w:rFonts w:ascii="Arial" w:hAnsi="Arial" w:cs="Arial"/>
              </w:rPr>
              <w:t>Requirement</w:t>
            </w:r>
          </w:p>
        </w:tc>
        <w:tc>
          <w:tcPr>
            <w:tcW w:w="3512" w:type="dxa"/>
          </w:tcPr>
          <w:p w14:paraId="5A2390BF" w14:textId="77777777" w:rsidR="00EC73D7" w:rsidRPr="0003219D" w:rsidRDefault="00000000">
            <w:pPr>
              <w:pStyle w:val="Compact"/>
              <w:rPr>
                <w:rFonts w:ascii="Arial" w:hAnsi="Arial" w:cs="Arial"/>
              </w:rPr>
            </w:pPr>
            <w:r w:rsidRPr="0003219D">
              <w:rPr>
                <w:rFonts w:ascii="Arial" w:hAnsi="Arial" w:cs="Arial"/>
              </w:rPr>
              <w:t>Considerations</w:t>
            </w:r>
          </w:p>
        </w:tc>
        <w:tc>
          <w:tcPr>
            <w:tcW w:w="2533" w:type="dxa"/>
          </w:tcPr>
          <w:p w14:paraId="2174E507"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75EE4836" w14:textId="77777777" w:rsidTr="00DE1097">
        <w:tc>
          <w:tcPr>
            <w:tcW w:w="740" w:type="dxa"/>
          </w:tcPr>
          <w:p w14:paraId="6767D2D9" w14:textId="77777777" w:rsidR="00EC73D7" w:rsidRPr="0003219D" w:rsidRDefault="00000000">
            <w:pPr>
              <w:pStyle w:val="Compact"/>
              <w:rPr>
                <w:rFonts w:ascii="Arial" w:hAnsi="Arial" w:cs="Arial"/>
              </w:rPr>
            </w:pPr>
            <w:r w:rsidRPr="0003219D">
              <w:rPr>
                <w:rFonts w:ascii="Arial" w:hAnsi="Arial" w:cs="Arial"/>
              </w:rPr>
              <w:t>3.1</w:t>
            </w:r>
          </w:p>
        </w:tc>
        <w:tc>
          <w:tcPr>
            <w:tcW w:w="2372" w:type="dxa"/>
          </w:tcPr>
          <w:p w14:paraId="1510B4F6" w14:textId="4896036B" w:rsidR="00EC73D7" w:rsidRPr="0003219D" w:rsidRDefault="00000000">
            <w:pPr>
              <w:pStyle w:val="Compact"/>
              <w:rPr>
                <w:rFonts w:ascii="Arial" w:hAnsi="Arial" w:cs="Arial"/>
              </w:rPr>
            </w:pPr>
            <w:r w:rsidRPr="0003219D">
              <w:rPr>
                <w:rFonts w:ascii="Arial" w:hAnsi="Arial" w:cs="Arial"/>
              </w:rPr>
              <w:t>Support</w:t>
            </w:r>
            <w:r w:rsidR="004D18C8" w:rsidRPr="0003219D">
              <w:rPr>
                <w:rFonts w:ascii="Arial" w:hAnsi="Arial" w:cs="Arial"/>
              </w:rPr>
              <w:t>s</w:t>
            </w:r>
            <w:r w:rsidRPr="0003219D">
              <w:rPr>
                <w:rFonts w:ascii="Arial" w:hAnsi="Arial" w:cs="Arial"/>
              </w:rPr>
              <w:t xml:space="preserve"> multiple usage sources per customer or subscription (e.g. time tracking, metering systems, external platforms)</w:t>
            </w:r>
          </w:p>
        </w:tc>
        <w:tc>
          <w:tcPr>
            <w:tcW w:w="3512" w:type="dxa"/>
          </w:tcPr>
          <w:p w14:paraId="3CFB0AF3" w14:textId="2B08D0A6" w:rsidR="00EC73D7" w:rsidRPr="0003219D" w:rsidRDefault="00000000">
            <w:pPr>
              <w:pStyle w:val="Compact"/>
              <w:rPr>
                <w:rFonts w:ascii="Arial" w:hAnsi="Arial" w:cs="Arial"/>
              </w:rPr>
            </w:pPr>
            <w:r w:rsidRPr="0003219D">
              <w:rPr>
                <w:rFonts w:ascii="Arial" w:hAnsi="Arial" w:cs="Arial"/>
              </w:rPr>
              <w:t>If usage ingestion is limited to a single source or format, teams must manually consolidate usage data before upload</w:t>
            </w:r>
            <w:r w:rsidR="005411DD">
              <w:rPr>
                <w:rFonts w:ascii="Arial" w:hAnsi="Arial" w:cs="Arial"/>
              </w:rPr>
              <w:t>,</w:t>
            </w:r>
            <w:r w:rsidRPr="0003219D">
              <w:rPr>
                <w:rFonts w:ascii="Arial" w:hAnsi="Arial" w:cs="Arial"/>
              </w:rPr>
              <w:t xml:space="preserve"> adding reconciliation effort and delaying billing cycles.</w:t>
            </w:r>
          </w:p>
        </w:tc>
        <w:tc>
          <w:tcPr>
            <w:tcW w:w="2533" w:type="dxa"/>
          </w:tcPr>
          <w:p w14:paraId="05DFCDFE" w14:textId="77777777" w:rsidR="00EC73D7" w:rsidRPr="0003219D" w:rsidRDefault="00EC73D7">
            <w:pPr>
              <w:pStyle w:val="Compact"/>
              <w:rPr>
                <w:rFonts w:ascii="Arial" w:hAnsi="Arial" w:cs="Arial"/>
              </w:rPr>
            </w:pPr>
          </w:p>
        </w:tc>
      </w:tr>
      <w:tr w:rsidR="00B9708E" w:rsidRPr="0003219D" w14:paraId="52717FA4" w14:textId="77777777" w:rsidTr="00DE1097">
        <w:tc>
          <w:tcPr>
            <w:tcW w:w="740" w:type="dxa"/>
          </w:tcPr>
          <w:p w14:paraId="51552FA2" w14:textId="77777777" w:rsidR="00EC73D7" w:rsidRPr="0003219D" w:rsidRDefault="00000000">
            <w:pPr>
              <w:pStyle w:val="Compact"/>
              <w:rPr>
                <w:rFonts w:ascii="Arial" w:hAnsi="Arial" w:cs="Arial"/>
              </w:rPr>
            </w:pPr>
            <w:r w:rsidRPr="0003219D">
              <w:rPr>
                <w:rFonts w:ascii="Arial" w:hAnsi="Arial" w:cs="Arial"/>
              </w:rPr>
              <w:t>3.2</w:t>
            </w:r>
          </w:p>
        </w:tc>
        <w:tc>
          <w:tcPr>
            <w:tcW w:w="2372" w:type="dxa"/>
          </w:tcPr>
          <w:p w14:paraId="4C1148F8" w14:textId="3E0DEC86" w:rsidR="00EC73D7" w:rsidRPr="0003219D" w:rsidRDefault="00000000">
            <w:pPr>
              <w:pStyle w:val="Compact"/>
              <w:rPr>
                <w:rFonts w:ascii="Arial" w:hAnsi="Arial" w:cs="Arial"/>
              </w:rPr>
            </w:pPr>
            <w:r w:rsidRPr="0003219D">
              <w:rPr>
                <w:rFonts w:ascii="Arial" w:hAnsi="Arial" w:cs="Arial"/>
              </w:rPr>
              <w:t>Accept</w:t>
            </w:r>
            <w:r w:rsidR="004D18C8" w:rsidRPr="0003219D">
              <w:rPr>
                <w:rFonts w:ascii="Arial" w:hAnsi="Arial" w:cs="Arial"/>
              </w:rPr>
              <w:t>s</w:t>
            </w:r>
            <w:r w:rsidRPr="0003219D">
              <w:rPr>
                <w:rFonts w:ascii="Arial" w:hAnsi="Arial" w:cs="Arial"/>
              </w:rPr>
              <w:t xml:space="preserve"> usage data in flexible formats and granularity (e.g. by hour, day, week, custom interval)</w:t>
            </w:r>
          </w:p>
        </w:tc>
        <w:tc>
          <w:tcPr>
            <w:tcW w:w="3512" w:type="dxa"/>
          </w:tcPr>
          <w:p w14:paraId="4E293A3E" w14:textId="77777777" w:rsidR="00EC73D7" w:rsidRPr="0003219D" w:rsidRDefault="00000000">
            <w:pPr>
              <w:pStyle w:val="Compact"/>
              <w:rPr>
                <w:rFonts w:ascii="Arial" w:hAnsi="Arial" w:cs="Arial"/>
              </w:rPr>
            </w:pPr>
            <w:r w:rsidRPr="0003219D">
              <w:rPr>
                <w:rFonts w:ascii="Arial" w:hAnsi="Arial" w:cs="Arial"/>
              </w:rPr>
              <w:t>Rigid data input requirements increase preprocessing work and create risk of usage mismatches between the source system and billing platform.</w:t>
            </w:r>
          </w:p>
        </w:tc>
        <w:tc>
          <w:tcPr>
            <w:tcW w:w="2533" w:type="dxa"/>
          </w:tcPr>
          <w:p w14:paraId="1EAC48CC" w14:textId="77777777" w:rsidR="00EC73D7" w:rsidRPr="0003219D" w:rsidRDefault="00EC73D7">
            <w:pPr>
              <w:pStyle w:val="Compact"/>
              <w:rPr>
                <w:rFonts w:ascii="Arial" w:hAnsi="Arial" w:cs="Arial"/>
              </w:rPr>
            </w:pPr>
          </w:p>
        </w:tc>
      </w:tr>
      <w:tr w:rsidR="00B9708E" w:rsidRPr="0003219D" w14:paraId="37118D53" w14:textId="77777777" w:rsidTr="00DE1097">
        <w:tc>
          <w:tcPr>
            <w:tcW w:w="740" w:type="dxa"/>
          </w:tcPr>
          <w:p w14:paraId="673AA5FF" w14:textId="77777777" w:rsidR="00EC73D7" w:rsidRPr="0003219D" w:rsidRDefault="00000000">
            <w:pPr>
              <w:pStyle w:val="Compact"/>
              <w:rPr>
                <w:rFonts w:ascii="Arial" w:hAnsi="Arial" w:cs="Arial"/>
              </w:rPr>
            </w:pPr>
            <w:r w:rsidRPr="0003219D">
              <w:rPr>
                <w:rFonts w:ascii="Arial" w:hAnsi="Arial" w:cs="Arial"/>
              </w:rPr>
              <w:t>3.3</w:t>
            </w:r>
          </w:p>
        </w:tc>
        <w:tc>
          <w:tcPr>
            <w:tcW w:w="2372" w:type="dxa"/>
          </w:tcPr>
          <w:p w14:paraId="4FFF054C" w14:textId="7C615556" w:rsidR="00EC73D7" w:rsidRPr="0003219D" w:rsidRDefault="00000000">
            <w:pPr>
              <w:pStyle w:val="Compact"/>
              <w:rPr>
                <w:rFonts w:ascii="Arial" w:hAnsi="Arial" w:cs="Arial"/>
              </w:rPr>
            </w:pPr>
            <w:r w:rsidRPr="0003219D">
              <w:rPr>
                <w:rFonts w:ascii="Arial" w:hAnsi="Arial" w:cs="Arial"/>
              </w:rPr>
              <w:t>Appl</w:t>
            </w:r>
            <w:r w:rsidR="004D18C8" w:rsidRPr="0003219D">
              <w:rPr>
                <w:rFonts w:ascii="Arial" w:hAnsi="Arial" w:cs="Arial"/>
              </w:rPr>
              <w:t>ies</w:t>
            </w:r>
            <w:r w:rsidRPr="0003219D">
              <w:rPr>
                <w:rFonts w:ascii="Arial" w:hAnsi="Arial" w:cs="Arial"/>
              </w:rPr>
              <w:t xml:space="preserve"> usage aggregation rules within the billing platform (e.g. sum, max, average, count)</w:t>
            </w:r>
          </w:p>
        </w:tc>
        <w:tc>
          <w:tcPr>
            <w:tcW w:w="3512" w:type="dxa"/>
          </w:tcPr>
          <w:p w14:paraId="057B1067" w14:textId="77777777" w:rsidR="00EC73D7" w:rsidRPr="0003219D" w:rsidRDefault="00000000">
            <w:pPr>
              <w:pStyle w:val="Compact"/>
              <w:rPr>
                <w:rFonts w:ascii="Arial" w:hAnsi="Arial" w:cs="Arial"/>
              </w:rPr>
            </w:pPr>
            <w:r w:rsidRPr="0003219D">
              <w:rPr>
                <w:rFonts w:ascii="Arial" w:hAnsi="Arial" w:cs="Arial"/>
              </w:rPr>
              <w:t>If usage must be pre</w:t>
            </w:r>
            <w:r w:rsidRPr="0003219D">
              <w:rPr>
                <w:rFonts w:ascii="Cambria Math" w:hAnsi="Cambria Math" w:cs="Cambria Math"/>
              </w:rPr>
              <w:t>‑</w:t>
            </w:r>
            <w:r w:rsidRPr="0003219D">
              <w:rPr>
                <w:rFonts w:ascii="Arial" w:hAnsi="Arial" w:cs="Arial"/>
              </w:rPr>
              <w:t>aggregated externally, the system can’t support real</w:t>
            </w:r>
            <w:r w:rsidRPr="0003219D">
              <w:rPr>
                <w:rFonts w:ascii="Cambria Math" w:hAnsi="Cambria Math" w:cs="Cambria Math"/>
              </w:rPr>
              <w:t>‑</w:t>
            </w:r>
            <w:r w:rsidRPr="0003219D">
              <w:rPr>
                <w:rFonts w:ascii="Arial" w:hAnsi="Arial" w:cs="Arial"/>
              </w:rPr>
              <w:t>time rating or re</w:t>
            </w:r>
            <w:r w:rsidRPr="0003219D">
              <w:rPr>
                <w:rFonts w:ascii="Cambria Math" w:hAnsi="Cambria Math" w:cs="Cambria Math"/>
              </w:rPr>
              <w:t>‑</w:t>
            </w:r>
            <w:r w:rsidRPr="0003219D">
              <w:rPr>
                <w:rFonts w:ascii="Arial" w:hAnsi="Arial" w:cs="Arial"/>
              </w:rPr>
              <w:t>rating – and finance must rely on non</w:t>
            </w:r>
            <w:r w:rsidRPr="0003219D">
              <w:rPr>
                <w:rFonts w:ascii="Cambria Math" w:hAnsi="Cambria Math" w:cs="Cambria Math"/>
              </w:rPr>
              <w:t>‑</w:t>
            </w:r>
            <w:r w:rsidRPr="0003219D">
              <w:rPr>
                <w:rFonts w:ascii="Arial" w:hAnsi="Arial" w:cs="Arial"/>
              </w:rPr>
              <w:t>auditable transformation pipelines.</w:t>
            </w:r>
          </w:p>
        </w:tc>
        <w:tc>
          <w:tcPr>
            <w:tcW w:w="2533" w:type="dxa"/>
          </w:tcPr>
          <w:p w14:paraId="5D30E016" w14:textId="77777777" w:rsidR="00EC73D7" w:rsidRPr="0003219D" w:rsidRDefault="00EC73D7">
            <w:pPr>
              <w:pStyle w:val="Compact"/>
              <w:rPr>
                <w:rFonts w:ascii="Arial" w:hAnsi="Arial" w:cs="Arial"/>
              </w:rPr>
            </w:pPr>
          </w:p>
        </w:tc>
      </w:tr>
      <w:tr w:rsidR="00B9708E" w:rsidRPr="0003219D" w14:paraId="0A9569D8" w14:textId="77777777" w:rsidTr="00DE1097">
        <w:tc>
          <w:tcPr>
            <w:tcW w:w="740" w:type="dxa"/>
          </w:tcPr>
          <w:p w14:paraId="3767811E" w14:textId="77777777" w:rsidR="00EC73D7" w:rsidRPr="0003219D" w:rsidRDefault="00000000">
            <w:pPr>
              <w:pStyle w:val="Compact"/>
              <w:rPr>
                <w:rFonts w:ascii="Arial" w:hAnsi="Arial" w:cs="Arial"/>
              </w:rPr>
            </w:pPr>
            <w:r w:rsidRPr="0003219D">
              <w:rPr>
                <w:rFonts w:ascii="Arial" w:hAnsi="Arial" w:cs="Arial"/>
              </w:rPr>
              <w:t>3.4</w:t>
            </w:r>
          </w:p>
        </w:tc>
        <w:tc>
          <w:tcPr>
            <w:tcW w:w="2372" w:type="dxa"/>
          </w:tcPr>
          <w:p w14:paraId="18D13F2E" w14:textId="3D13CAF7" w:rsidR="00EC73D7" w:rsidRPr="0003219D" w:rsidRDefault="00000000">
            <w:pPr>
              <w:pStyle w:val="Compact"/>
              <w:rPr>
                <w:rFonts w:ascii="Arial" w:hAnsi="Arial" w:cs="Arial"/>
              </w:rPr>
            </w:pPr>
            <w:r w:rsidRPr="0003219D">
              <w:rPr>
                <w:rFonts w:ascii="Arial" w:hAnsi="Arial" w:cs="Arial"/>
              </w:rPr>
              <w:t>Support</w:t>
            </w:r>
            <w:r w:rsidR="004D18C8" w:rsidRPr="0003219D">
              <w:rPr>
                <w:rFonts w:ascii="Arial" w:hAnsi="Arial" w:cs="Arial"/>
              </w:rPr>
              <w:t>s</w:t>
            </w:r>
            <w:r w:rsidRPr="0003219D">
              <w:rPr>
                <w:rFonts w:ascii="Arial" w:hAnsi="Arial" w:cs="Arial"/>
              </w:rPr>
              <w:t xml:space="preserve"> usage</w:t>
            </w:r>
            <w:r w:rsidRPr="0003219D">
              <w:rPr>
                <w:rFonts w:ascii="Cambria Math" w:hAnsi="Cambria Math" w:cs="Cambria Math"/>
              </w:rPr>
              <w:t>‑</w:t>
            </w:r>
            <w:r w:rsidRPr="0003219D">
              <w:rPr>
                <w:rFonts w:ascii="Arial" w:hAnsi="Arial" w:cs="Arial"/>
              </w:rPr>
              <w:t>based pricing models including tiered, volume, block, flat</w:t>
            </w:r>
            <w:r w:rsidRPr="0003219D">
              <w:rPr>
                <w:rFonts w:ascii="Cambria Math" w:hAnsi="Cambria Math" w:cs="Cambria Math"/>
              </w:rPr>
              <w:t>‑</w:t>
            </w:r>
            <w:r w:rsidRPr="0003219D">
              <w:rPr>
                <w:rFonts w:ascii="Arial" w:hAnsi="Arial" w:cs="Arial"/>
              </w:rPr>
              <w:t>rate and hybrid structures</w:t>
            </w:r>
          </w:p>
        </w:tc>
        <w:tc>
          <w:tcPr>
            <w:tcW w:w="3512" w:type="dxa"/>
          </w:tcPr>
          <w:p w14:paraId="2E71950A" w14:textId="77777777" w:rsidR="00EC73D7" w:rsidRPr="0003219D" w:rsidRDefault="00000000">
            <w:pPr>
              <w:pStyle w:val="Compact"/>
              <w:rPr>
                <w:rFonts w:ascii="Arial" w:hAnsi="Arial" w:cs="Arial"/>
              </w:rPr>
            </w:pPr>
            <w:r w:rsidRPr="0003219D">
              <w:rPr>
                <w:rFonts w:ascii="Arial" w:hAnsi="Arial" w:cs="Arial"/>
              </w:rPr>
              <w:t>If pricing logic is limited or hardcoded, teams may need to configure workarounds for common models – increasing maintenance effort and the chance of misbilled usage.</w:t>
            </w:r>
          </w:p>
        </w:tc>
        <w:tc>
          <w:tcPr>
            <w:tcW w:w="2533" w:type="dxa"/>
          </w:tcPr>
          <w:p w14:paraId="566F657E" w14:textId="77777777" w:rsidR="00EC73D7" w:rsidRPr="0003219D" w:rsidRDefault="00EC73D7">
            <w:pPr>
              <w:pStyle w:val="Compact"/>
              <w:rPr>
                <w:rFonts w:ascii="Arial" w:hAnsi="Arial" w:cs="Arial"/>
              </w:rPr>
            </w:pPr>
          </w:p>
        </w:tc>
      </w:tr>
      <w:tr w:rsidR="00B9708E" w:rsidRPr="0003219D" w14:paraId="1E6322D1" w14:textId="77777777" w:rsidTr="00DE1097">
        <w:tc>
          <w:tcPr>
            <w:tcW w:w="740" w:type="dxa"/>
          </w:tcPr>
          <w:p w14:paraId="210A397F" w14:textId="77777777" w:rsidR="00EC73D7" w:rsidRPr="0003219D" w:rsidRDefault="00000000">
            <w:pPr>
              <w:pStyle w:val="Compact"/>
              <w:rPr>
                <w:rFonts w:ascii="Arial" w:hAnsi="Arial" w:cs="Arial"/>
              </w:rPr>
            </w:pPr>
            <w:r w:rsidRPr="0003219D">
              <w:rPr>
                <w:rFonts w:ascii="Arial" w:hAnsi="Arial" w:cs="Arial"/>
              </w:rPr>
              <w:t>3.5</w:t>
            </w:r>
          </w:p>
        </w:tc>
        <w:tc>
          <w:tcPr>
            <w:tcW w:w="2372" w:type="dxa"/>
          </w:tcPr>
          <w:p w14:paraId="204C6F31" w14:textId="3B5E2FFC" w:rsidR="00EC73D7" w:rsidRPr="0003219D" w:rsidRDefault="00000000">
            <w:pPr>
              <w:pStyle w:val="Compact"/>
              <w:rPr>
                <w:rFonts w:ascii="Arial" w:hAnsi="Arial" w:cs="Arial"/>
              </w:rPr>
            </w:pPr>
            <w:r w:rsidRPr="0003219D">
              <w:rPr>
                <w:rFonts w:ascii="Arial" w:hAnsi="Arial" w:cs="Arial"/>
              </w:rPr>
              <w:t>Allow</w:t>
            </w:r>
            <w:r w:rsidR="004D18C8" w:rsidRPr="0003219D">
              <w:rPr>
                <w:rFonts w:ascii="Arial" w:hAnsi="Arial" w:cs="Arial"/>
              </w:rPr>
              <w:t>s</w:t>
            </w:r>
            <w:r w:rsidRPr="0003219D">
              <w:rPr>
                <w:rFonts w:ascii="Arial" w:hAnsi="Arial" w:cs="Arial"/>
              </w:rPr>
              <w:t xml:space="preserve"> usage</w:t>
            </w:r>
            <w:r w:rsidRPr="0003219D">
              <w:rPr>
                <w:rFonts w:ascii="Cambria Math" w:hAnsi="Cambria Math" w:cs="Cambria Math"/>
              </w:rPr>
              <w:t>‑</w:t>
            </w:r>
            <w:r w:rsidRPr="0003219D">
              <w:rPr>
                <w:rFonts w:ascii="Arial" w:hAnsi="Arial" w:cs="Arial"/>
              </w:rPr>
              <w:t>based charges and fixed</w:t>
            </w:r>
            <w:r w:rsidRPr="0003219D">
              <w:rPr>
                <w:rFonts w:ascii="Cambria Math" w:hAnsi="Cambria Math" w:cs="Cambria Math"/>
              </w:rPr>
              <w:t>‑</w:t>
            </w:r>
            <w:r w:rsidRPr="0003219D">
              <w:rPr>
                <w:rFonts w:ascii="Arial" w:hAnsi="Arial" w:cs="Arial"/>
              </w:rPr>
              <w:t>fee charges to coexist on a single subscription or invoice</w:t>
            </w:r>
          </w:p>
        </w:tc>
        <w:tc>
          <w:tcPr>
            <w:tcW w:w="3512" w:type="dxa"/>
          </w:tcPr>
          <w:p w14:paraId="2F526B2A" w14:textId="77777777" w:rsidR="00EC73D7" w:rsidRPr="0003219D" w:rsidRDefault="00000000">
            <w:pPr>
              <w:pStyle w:val="Compact"/>
              <w:rPr>
                <w:rFonts w:ascii="Arial" w:hAnsi="Arial" w:cs="Arial"/>
              </w:rPr>
            </w:pPr>
            <w:r w:rsidRPr="0003219D">
              <w:rPr>
                <w:rFonts w:ascii="Arial" w:hAnsi="Arial" w:cs="Arial"/>
              </w:rPr>
              <w:t>If the system requires separate subscriptions or billing runs for usage and fixed fees, teams must merge invoices manually and maintain duplicate contract records.</w:t>
            </w:r>
          </w:p>
        </w:tc>
        <w:tc>
          <w:tcPr>
            <w:tcW w:w="2533" w:type="dxa"/>
          </w:tcPr>
          <w:p w14:paraId="07E60539" w14:textId="77777777" w:rsidR="00EC73D7" w:rsidRPr="0003219D" w:rsidRDefault="00EC73D7">
            <w:pPr>
              <w:pStyle w:val="Compact"/>
              <w:rPr>
                <w:rFonts w:ascii="Arial" w:hAnsi="Arial" w:cs="Arial"/>
              </w:rPr>
            </w:pPr>
          </w:p>
        </w:tc>
      </w:tr>
      <w:tr w:rsidR="00B9708E" w:rsidRPr="0003219D" w14:paraId="17D7C0BF" w14:textId="77777777" w:rsidTr="00DE1097">
        <w:tc>
          <w:tcPr>
            <w:tcW w:w="740" w:type="dxa"/>
          </w:tcPr>
          <w:p w14:paraId="5C3B6DDC" w14:textId="77777777" w:rsidR="00EC73D7" w:rsidRPr="0003219D" w:rsidRDefault="00000000">
            <w:pPr>
              <w:pStyle w:val="Compact"/>
              <w:rPr>
                <w:rFonts w:ascii="Arial" w:hAnsi="Arial" w:cs="Arial"/>
              </w:rPr>
            </w:pPr>
            <w:r w:rsidRPr="0003219D">
              <w:rPr>
                <w:rFonts w:ascii="Arial" w:hAnsi="Arial" w:cs="Arial"/>
              </w:rPr>
              <w:t>3.6</w:t>
            </w:r>
          </w:p>
        </w:tc>
        <w:tc>
          <w:tcPr>
            <w:tcW w:w="2372" w:type="dxa"/>
          </w:tcPr>
          <w:p w14:paraId="6EF28B21" w14:textId="2763B09D" w:rsidR="00EC73D7" w:rsidRPr="0003219D" w:rsidRDefault="00000000">
            <w:pPr>
              <w:pStyle w:val="Compact"/>
              <w:rPr>
                <w:rFonts w:ascii="Arial" w:hAnsi="Arial" w:cs="Arial"/>
              </w:rPr>
            </w:pPr>
            <w:r w:rsidRPr="0003219D">
              <w:rPr>
                <w:rFonts w:ascii="Arial" w:hAnsi="Arial" w:cs="Arial"/>
              </w:rPr>
              <w:t>Enable</w:t>
            </w:r>
            <w:r w:rsidR="004D18C8" w:rsidRPr="0003219D">
              <w:rPr>
                <w:rFonts w:ascii="Arial" w:hAnsi="Arial" w:cs="Arial"/>
              </w:rPr>
              <w:t>s</w:t>
            </w:r>
            <w:r w:rsidRPr="0003219D">
              <w:rPr>
                <w:rFonts w:ascii="Arial" w:hAnsi="Arial" w:cs="Arial"/>
              </w:rPr>
              <w:t xml:space="preserve"> per</w:t>
            </w:r>
            <w:r w:rsidRPr="0003219D">
              <w:rPr>
                <w:rFonts w:ascii="Cambria Math" w:hAnsi="Cambria Math" w:cs="Cambria Math"/>
              </w:rPr>
              <w:t>‑</w:t>
            </w:r>
            <w:r w:rsidRPr="0003219D">
              <w:rPr>
                <w:rFonts w:ascii="Arial" w:hAnsi="Arial" w:cs="Arial"/>
              </w:rPr>
              <w:t>customer pricing logic for usage charges</w:t>
            </w:r>
          </w:p>
        </w:tc>
        <w:tc>
          <w:tcPr>
            <w:tcW w:w="3512" w:type="dxa"/>
          </w:tcPr>
          <w:p w14:paraId="69D054A4" w14:textId="59D28E70" w:rsidR="00EC73D7" w:rsidRPr="0003219D" w:rsidRDefault="00000000">
            <w:pPr>
              <w:pStyle w:val="Compact"/>
              <w:rPr>
                <w:rFonts w:ascii="Arial" w:hAnsi="Arial" w:cs="Arial"/>
              </w:rPr>
            </w:pPr>
            <w:r w:rsidRPr="0003219D">
              <w:rPr>
                <w:rFonts w:ascii="Arial" w:hAnsi="Arial" w:cs="Arial"/>
              </w:rPr>
              <w:t>Systems that require global usage pricing or SKU</w:t>
            </w:r>
            <w:r w:rsidRPr="0003219D">
              <w:rPr>
                <w:rFonts w:ascii="Cambria Math" w:hAnsi="Cambria Math" w:cs="Cambria Math"/>
              </w:rPr>
              <w:t>‑</w:t>
            </w:r>
            <w:r w:rsidRPr="0003219D">
              <w:rPr>
                <w:rFonts w:ascii="Arial" w:hAnsi="Arial" w:cs="Arial"/>
              </w:rPr>
              <w:t>level definitions make it difficult to apply customer</w:t>
            </w:r>
            <w:r w:rsidRPr="0003219D">
              <w:rPr>
                <w:rFonts w:ascii="Cambria Math" w:hAnsi="Cambria Math" w:cs="Cambria Math"/>
              </w:rPr>
              <w:t>‑</w:t>
            </w:r>
            <w:r w:rsidRPr="0003219D">
              <w:rPr>
                <w:rFonts w:ascii="Arial" w:hAnsi="Arial" w:cs="Arial"/>
              </w:rPr>
              <w:t xml:space="preserve">specific </w:t>
            </w:r>
            <w:r w:rsidRPr="0003219D">
              <w:rPr>
                <w:rFonts w:ascii="Arial" w:hAnsi="Arial" w:cs="Arial"/>
              </w:rPr>
              <w:lastRenderedPageBreak/>
              <w:t>contracts</w:t>
            </w:r>
            <w:r w:rsidR="005411DD">
              <w:rPr>
                <w:rFonts w:ascii="Arial" w:hAnsi="Arial" w:cs="Arial"/>
              </w:rPr>
              <w:t xml:space="preserve">, </w:t>
            </w:r>
            <w:r w:rsidRPr="0003219D">
              <w:rPr>
                <w:rFonts w:ascii="Arial" w:hAnsi="Arial" w:cs="Arial"/>
              </w:rPr>
              <w:t xml:space="preserve"> reducing flexibility and increasing reliance on exception handling.</w:t>
            </w:r>
          </w:p>
        </w:tc>
        <w:tc>
          <w:tcPr>
            <w:tcW w:w="2533" w:type="dxa"/>
          </w:tcPr>
          <w:p w14:paraId="784C07E4" w14:textId="77777777" w:rsidR="00EC73D7" w:rsidRPr="0003219D" w:rsidRDefault="00EC73D7">
            <w:pPr>
              <w:pStyle w:val="Compact"/>
              <w:rPr>
                <w:rFonts w:ascii="Arial" w:hAnsi="Arial" w:cs="Arial"/>
              </w:rPr>
            </w:pPr>
          </w:p>
        </w:tc>
      </w:tr>
      <w:tr w:rsidR="00B9708E" w:rsidRPr="0003219D" w14:paraId="198E68C6" w14:textId="77777777" w:rsidTr="00DE1097">
        <w:tc>
          <w:tcPr>
            <w:tcW w:w="740" w:type="dxa"/>
          </w:tcPr>
          <w:p w14:paraId="4B0A303C" w14:textId="77777777" w:rsidR="00EC73D7" w:rsidRPr="0003219D" w:rsidRDefault="00000000">
            <w:pPr>
              <w:pStyle w:val="Compact"/>
              <w:rPr>
                <w:rFonts w:ascii="Arial" w:hAnsi="Arial" w:cs="Arial"/>
              </w:rPr>
            </w:pPr>
            <w:r w:rsidRPr="0003219D">
              <w:rPr>
                <w:rFonts w:ascii="Arial" w:hAnsi="Arial" w:cs="Arial"/>
              </w:rPr>
              <w:t>3.7</w:t>
            </w:r>
          </w:p>
        </w:tc>
        <w:tc>
          <w:tcPr>
            <w:tcW w:w="2372" w:type="dxa"/>
          </w:tcPr>
          <w:p w14:paraId="60E94742" w14:textId="7E71AAA0" w:rsidR="00EC73D7" w:rsidRPr="0003219D" w:rsidRDefault="00000000">
            <w:pPr>
              <w:pStyle w:val="Compact"/>
              <w:rPr>
                <w:rFonts w:ascii="Arial" w:hAnsi="Arial" w:cs="Arial"/>
              </w:rPr>
            </w:pPr>
            <w:r w:rsidRPr="0003219D">
              <w:rPr>
                <w:rFonts w:ascii="Arial" w:hAnsi="Arial" w:cs="Arial"/>
              </w:rPr>
              <w:t>Var</w:t>
            </w:r>
            <w:r w:rsidR="004D18C8" w:rsidRPr="0003219D">
              <w:rPr>
                <w:rFonts w:ascii="Arial" w:hAnsi="Arial" w:cs="Arial"/>
              </w:rPr>
              <w:t>ies</w:t>
            </w:r>
            <w:r w:rsidRPr="0003219D">
              <w:rPr>
                <w:rFonts w:ascii="Arial" w:hAnsi="Arial" w:cs="Arial"/>
              </w:rPr>
              <w:t xml:space="preserve"> billing frequency by charge line within a single subscription (e.g. monthly fixed + quarterly usage)</w:t>
            </w:r>
          </w:p>
        </w:tc>
        <w:tc>
          <w:tcPr>
            <w:tcW w:w="3512" w:type="dxa"/>
          </w:tcPr>
          <w:p w14:paraId="705FAA88" w14:textId="1ED3EBB2" w:rsidR="00EC73D7" w:rsidRPr="0003219D" w:rsidRDefault="00000000">
            <w:pPr>
              <w:pStyle w:val="Compact"/>
              <w:rPr>
                <w:rFonts w:ascii="Arial" w:hAnsi="Arial" w:cs="Arial"/>
              </w:rPr>
            </w:pPr>
            <w:r w:rsidRPr="0003219D">
              <w:rPr>
                <w:rFonts w:ascii="Arial" w:hAnsi="Arial" w:cs="Arial"/>
              </w:rPr>
              <w:t>If billing cadence is tied to the subscription record or contract frequency, teams can’t support hybrid billing scenarios</w:t>
            </w:r>
            <w:r w:rsidR="005411DD">
              <w:rPr>
                <w:rFonts w:ascii="Arial" w:hAnsi="Arial" w:cs="Arial"/>
              </w:rPr>
              <w:t xml:space="preserve">, </w:t>
            </w:r>
            <w:r w:rsidRPr="0003219D">
              <w:rPr>
                <w:rFonts w:ascii="Arial" w:hAnsi="Arial" w:cs="Arial"/>
              </w:rPr>
              <w:t>leading to off</w:t>
            </w:r>
            <w:r w:rsidRPr="0003219D">
              <w:rPr>
                <w:rFonts w:ascii="Cambria Math" w:hAnsi="Cambria Math" w:cs="Cambria Math"/>
              </w:rPr>
              <w:t>‑</w:t>
            </w:r>
            <w:r w:rsidRPr="0003219D">
              <w:rPr>
                <w:rFonts w:ascii="Arial" w:hAnsi="Arial" w:cs="Arial"/>
              </w:rPr>
              <w:t>cycle invoices or misaligned revenue schedules.</w:t>
            </w:r>
          </w:p>
        </w:tc>
        <w:tc>
          <w:tcPr>
            <w:tcW w:w="2533" w:type="dxa"/>
          </w:tcPr>
          <w:p w14:paraId="211E1167" w14:textId="77777777" w:rsidR="00EC73D7" w:rsidRPr="0003219D" w:rsidRDefault="00EC73D7">
            <w:pPr>
              <w:pStyle w:val="Compact"/>
              <w:rPr>
                <w:rFonts w:ascii="Arial" w:hAnsi="Arial" w:cs="Arial"/>
              </w:rPr>
            </w:pPr>
          </w:p>
        </w:tc>
      </w:tr>
      <w:tr w:rsidR="00B9708E" w:rsidRPr="0003219D" w14:paraId="600CDCF2" w14:textId="77777777" w:rsidTr="00DE1097">
        <w:tc>
          <w:tcPr>
            <w:tcW w:w="740" w:type="dxa"/>
          </w:tcPr>
          <w:p w14:paraId="07562AEE" w14:textId="77777777" w:rsidR="00EC73D7" w:rsidRPr="0003219D" w:rsidRDefault="00000000">
            <w:pPr>
              <w:pStyle w:val="Compact"/>
              <w:rPr>
                <w:rFonts w:ascii="Arial" w:hAnsi="Arial" w:cs="Arial"/>
              </w:rPr>
            </w:pPr>
            <w:r w:rsidRPr="0003219D">
              <w:rPr>
                <w:rFonts w:ascii="Arial" w:hAnsi="Arial" w:cs="Arial"/>
              </w:rPr>
              <w:t>3.8</w:t>
            </w:r>
          </w:p>
        </w:tc>
        <w:tc>
          <w:tcPr>
            <w:tcW w:w="2372" w:type="dxa"/>
          </w:tcPr>
          <w:p w14:paraId="0FB9AC61" w14:textId="69ABBD60" w:rsidR="00EC73D7" w:rsidRPr="0003219D" w:rsidRDefault="00000000">
            <w:pPr>
              <w:pStyle w:val="Compact"/>
              <w:rPr>
                <w:rFonts w:ascii="Arial" w:hAnsi="Arial" w:cs="Arial"/>
              </w:rPr>
            </w:pPr>
            <w:r w:rsidRPr="0003219D">
              <w:rPr>
                <w:rFonts w:ascii="Arial" w:hAnsi="Arial" w:cs="Arial"/>
              </w:rPr>
              <w:t>Handle</w:t>
            </w:r>
            <w:r w:rsidR="004D18C8" w:rsidRPr="0003219D">
              <w:rPr>
                <w:rFonts w:ascii="Arial" w:hAnsi="Arial" w:cs="Arial"/>
              </w:rPr>
              <w:t>s</w:t>
            </w:r>
            <w:r w:rsidRPr="0003219D">
              <w:rPr>
                <w:rFonts w:ascii="Arial" w:hAnsi="Arial" w:cs="Arial"/>
              </w:rPr>
              <w:t xml:space="preserve"> usage corrections and adjustments after a charge has been rated or billed</w:t>
            </w:r>
          </w:p>
        </w:tc>
        <w:tc>
          <w:tcPr>
            <w:tcW w:w="3512" w:type="dxa"/>
          </w:tcPr>
          <w:p w14:paraId="6116B664" w14:textId="77777777" w:rsidR="00EC73D7" w:rsidRPr="0003219D" w:rsidRDefault="00000000">
            <w:pPr>
              <w:pStyle w:val="Compact"/>
              <w:rPr>
                <w:rFonts w:ascii="Arial" w:hAnsi="Arial" w:cs="Arial"/>
              </w:rPr>
            </w:pPr>
            <w:r w:rsidRPr="0003219D">
              <w:rPr>
                <w:rFonts w:ascii="Arial" w:hAnsi="Arial" w:cs="Arial"/>
              </w:rPr>
              <w:t>Without correction capabilities, teams must issue manual credits and re</w:t>
            </w:r>
            <w:r w:rsidRPr="0003219D">
              <w:rPr>
                <w:rFonts w:ascii="Cambria Math" w:hAnsi="Cambria Math" w:cs="Cambria Math"/>
              </w:rPr>
              <w:t>‑</w:t>
            </w:r>
            <w:r w:rsidRPr="0003219D">
              <w:rPr>
                <w:rFonts w:ascii="Arial" w:hAnsi="Arial" w:cs="Arial"/>
              </w:rPr>
              <w:t>rates outside the system – increasing the risk of errors, disputes or audit complications.</w:t>
            </w:r>
          </w:p>
        </w:tc>
        <w:tc>
          <w:tcPr>
            <w:tcW w:w="2533" w:type="dxa"/>
          </w:tcPr>
          <w:p w14:paraId="3F5FFA29" w14:textId="77777777" w:rsidR="00EC73D7" w:rsidRPr="0003219D" w:rsidRDefault="00EC73D7">
            <w:pPr>
              <w:pStyle w:val="Compact"/>
              <w:rPr>
                <w:rFonts w:ascii="Arial" w:hAnsi="Arial" w:cs="Arial"/>
              </w:rPr>
            </w:pPr>
          </w:p>
        </w:tc>
      </w:tr>
      <w:tr w:rsidR="00B9708E" w:rsidRPr="0003219D" w14:paraId="6767DCCD" w14:textId="77777777" w:rsidTr="00DE1097">
        <w:tc>
          <w:tcPr>
            <w:tcW w:w="740" w:type="dxa"/>
          </w:tcPr>
          <w:p w14:paraId="688518E3" w14:textId="77777777" w:rsidR="00EC73D7" w:rsidRPr="0003219D" w:rsidRDefault="00000000">
            <w:pPr>
              <w:pStyle w:val="Compact"/>
              <w:rPr>
                <w:rFonts w:ascii="Arial" w:hAnsi="Arial" w:cs="Arial"/>
              </w:rPr>
            </w:pPr>
            <w:bookmarkStart w:id="9" w:name="_Hlk210311280"/>
            <w:r w:rsidRPr="0003219D">
              <w:rPr>
                <w:rFonts w:ascii="Arial" w:hAnsi="Arial" w:cs="Arial"/>
              </w:rPr>
              <w:t>3.9</w:t>
            </w:r>
          </w:p>
        </w:tc>
        <w:tc>
          <w:tcPr>
            <w:tcW w:w="2372" w:type="dxa"/>
          </w:tcPr>
          <w:p w14:paraId="5518A8A9" w14:textId="7C8CF273" w:rsidR="00EC73D7" w:rsidRPr="0003219D" w:rsidRDefault="00000000">
            <w:pPr>
              <w:pStyle w:val="Compact"/>
              <w:rPr>
                <w:rFonts w:ascii="Arial" w:hAnsi="Arial" w:cs="Arial"/>
              </w:rPr>
            </w:pPr>
            <w:r w:rsidRPr="0003219D">
              <w:rPr>
                <w:rFonts w:ascii="Arial" w:hAnsi="Arial" w:cs="Arial"/>
              </w:rPr>
              <w:t>Provide</w:t>
            </w:r>
            <w:r w:rsidR="004D18C8" w:rsidRPr="0003219D">
              <w:rPr>
                <w:rFonts w:ascii="Arial" w:hAnsi="Arial" w:cs="Arial"/>
              </w:rPr>
              <w:t>s</w:t>
            </w:r>
            <w:r w:rsidRPr="0003219D">
              <w:rPr>
                <w:rFonts w:ascii="Arial" w:hAnsi="Arial" w:cs="Arial"/>
              </w:rPr>
              <w:t xml:space="preserve"> in</w:t>
            </w:r>
            <w:r w:rsidRPr="0003219D">
              <w:rPr>
                <w:rFonts w:ascii="Cambria Math" w:hAnsi="Cambria Math" w:cs="Cambria Math"/>
              </w:rPr>
              <w:t>‑</w:t>
            </w:r>
            <w:r w:rsidRPr="0003219D">
              <w:rPr>
                <w:rFonts w:ascii="Arial" w:hAnsi="Arial" w:cs="Arial"/>
              </w:rPr>
              <w:t>platform usage mediation from any NetSuite record</w:t>
            </w:r>
          </w:p>
        </w:tc>
        <w:tc>
          <w:tcPr>
            <w:tcW w:w="3512" w:type="dxa"/>
          </w:tcPr>
          <w:p w14:paraId="2E0B4053" w14:textId="1DCA8DA6" w:rsidR="00EC73D7" w:rsidRPr="0003219D" w:rsidRDefault="00DE1097">
            <w:pPr>
              <w:pStyle w:val="Compact"/>
              <w:rPr>
                <w:rFonts w:ascii="Arial" w:hAnsi="Arial" w:cs="Arial"/>
              </w:rPr>
            </w:pPr>
            <w:r w:rsidRPr="0003219D">
              <w:rPr>
                <w:rFonts w:ascii="Arial" w:hAnsi="Arial" w:cs="Arial"/>
              </w:rPr>
              <w:t>If usage ingestion is limited to a single record type, teams must build ETL pipelines or prep data in spreadsheets</w:t>
            </w:r>
            <w:r w:rsidR="005411DD">
              <w:rPr>
                <w:rFonts w:ascii="Arial" w:hAnsi="Arial" w:cs="Arial"/>
              </w:rPr>
              <w:t xml:space="preserve">, </w:t>
            </w:r>
            <w:r w:rsidRPr="0003219D">
              <w:rPr>
                <w:rFonts w:ascii="Arial" w:hAnsi="Arial" w:cs="Arial"/>
              </w:rPr>
              <w:t>increasing reconciliation effort and delaying billing cycles.</w:t>
            </w:r>
          </w:p>
        </w:tc>
        <w:tc>
          <w:tcPr>
            <w:tcW w:w="2533" w:type="dxa"/>
          </w:tcPr>
          <w:p w14:paraId="00AF7D55" w14:textId="77777777" w:rsidR="00EC73D7" w:rsidRPr="0003219D" w:rsidRDefault="00EC73D7">
            <w:pPr>
              <w:pStyle w:val="Compact"/>
              <w:rPr>
                <w:rFonts w:ascii="Arial" w:hAnsi="Arial" w:cs="Arial"/>
              </w:rPr>
            </w:pPr>
          </w:p>
        </w:tc>
      </w:tr>
      <w:tr w:rsidR="00B9708E" w:rsidRPr="0003219D" w14:paraId="2DF7D6D8" w14:textId="77777777" w:rsidTr="00DE1097">
        <w:tc>
          <w:tcPr>
            <w:tcW w:w="740" w:type="dxa"/>
          </w:tcPr>
          <w:p w14:paraId="168E83C9" w14:textId="77777777" w:rsidR="00EC73D7" w:rsidRPr="0003219D" w:rsidRDefault="00000000">
            <w:pPr>
              <w:pStyle w:val="Compact"/>
              <w:rPr>
                <w:rFonts w:ascii="Arial" w:hAnsi="Arial" w:cs="Arial"/>
              </w:rPr>
            </w:pPr>
            <w:r w:rsidRPr="0003219D">
              <w:rPr>
                <w:rFonts w:ascii="Arial" w:hAnsi="Arial" w:cs="Arial"/>
              </w:rPr>
              <w:t>3.10</w:t>
            </w:r>
          </w:p>
        </w:tc>
        <w:tc>
          <w:tcPr>
            <w:tcW w:w="2372" w:type="dxa"/>
          </w:tcPr>
          <w:p w14:paraId="746276C1" w14:textId="463E192B" w:rsidR="00EC73D7" w:rsidRPr="0003219D" w:rsidRDefault="00000000">
            <w:pPr>
              <w:pStyle w:val="Compact"/>
              <w:rPr>
                <w:rFonts w:ascii="Arial" w:hAnsi="Arial" w:cs="Arial"/>
              </w:rPr>
            </w:pPr>
            <w:r w:rsidRPr="0003219D">
              <w:rPr>
                <w:rFonts w:ascii="Arial" w:hAnsi="Arial" w:cs="Arial"/>
              </w:rPr>
              <w:t>Support</w:t>
            </w:r>
            <w:r w:rsidR="004D18C8" w:rsidRPr="0003219D">
              <w:rPr>
                <w:rFonts w:ascii="Arial" w:hAnsi="Arial" w:cs="Arial"/>
              </w:rPr>
              <w:t>s</w:t>
            </w:r>
            <w:r w:rsidRPr="0003219D">
              <w:rPr>
                <w:rFonts w:ascii="Arial" w:hAnsi="Arial" w:cs="Arial"/>
              </w:rPr>
              <w:t xml:space="preserve"> advanced transformations and windowed calculations before rating</w:t>
            </w:r>
          </w:p>
        </w:tc>
        <w:tc>
          <w:tcPr>
            <w:tcW w:w="3512" w:type="dxa"/>
          </w:tcPr>
          <w:p w14:paraId="0072C7EC" w14:textId="57FBC6E0" w:rsidR="00EC73D7" w:rsidRPr="0003219D" w:rsidRDefault="00DE1097">
            <w:pPr>
              <w:pStyle w:val="Compact"/>
              <w:rPr>
                <w:rFonts w:ascii="Arial" w:hAnsi="Arial" w:cs="Arial"/>
              </w:rPr>
            </w:pPr>
            <w:r w:rsidRPr="0003219D">
              <w:rPr>
                <w:rFonts w:ascii="Arial" w:hAnsi="Arial" w:cs="Arial"/>
              </w:rPr>
              <w:t>If transformations like unit conversions or percentile logic must happen outside the ERP, billing teams rely on spreadsheets that lack audit trails and increase the risk of misbilled usage.</w:t>
            </w:r>
          </w:p>
        </w:tc>
        <w:tc>
          <w:tcPr>
            <w:tcW w:w="2533" w:type="dxa"/>
          </w:tcPr>
          <w:p w14:paraId="4E6C5B4F" w14:textId="77777777" w:rsidR="00EC73D7" w:rsidRPr="0003219D" w:rsidRDefault="00EC73D7">
            <w:pPr>
              <w:pStyle w:val="Compact"/>
              <w:rPr>
                <w:rFonts w:ascii="Arial" w:hAnsi="Arial" w:cs="Arial"/>
              </w:rPr>
            </w:pPr>
          </w:p>
        </w:tc>
      </w:tr>
      <w:tr w:rsidR="00B9708E" w:rsidRPr="0003219D" w14:paraId="00899F20" w14:textId="77777777" w:rsidTr="00DE1097">
        <w:tc>
          <w:tcPr>
            <w:tcW w:w="740" w:type="dxa"/>
          </w:tcPr>
          <w:p w14:paraId="17F9E60D" w14:textId="77777777" w:rsidR="00EC73D7" w:rsidRPr="0003219D" w:rsidRDefault="00000000">
            <w:pPr>
              <w:pStyle w:val="Compact"/>
              <w:rPr>
                <w:rFonts w:ascii="Arial" w:hAnsi="Arial" w:cs="Arial"/>
              </w:rPr>
            </w:pPr>
            <w:r w:rsidRPr="0003219D">
              <w:rPr>
                <w:rFonts w:ascii="Arial" w:hAnsi="Arial" w:cs="Arial"/>
              </w:rPr>
              <w:t>3.11</w:t>
            </w:r>
          </w:p>
        </w:tc>
        <w:tc>
          <w:tcPr>
            <w:tcW w:w="2372" w:type="dxa"/>
          </w:tcPr>
          <w:p w14:paraId="68FB426F" w14:textId="575855F8" w:rsidR="00EC73D7" w:rsidRPr="0003219D" w:rsidRDefault="00000000">
            <w:pPr>
              <w:pStyle w:val="Compact"/>
              <w:rPr>
                <w:rFonts w:ascii="Arial" w:hAnsi="Arial" w:cs="Arial"/>
              </w:rPr>
            </w:pPr>
            <w:r w:rsidRPr="0003219D">
              <w:rPr>
                <w:rFonts w:ascii="Arial" w:hAnsi="Arial" w:cs="Arial"/>
              </w:rPr>
              <w:t>Offer</w:t>
            </w:r>
            <w:r w:rsidR="004D18C8" w:rsidRPr="0003219D">
              <w:rPr>
                <w:rFonts w:ascii="Arial" w:hAnsi="Arial" w:cs="Arial"/>
              </w:rPr>
              <w:t>s</w:t>
            </w:r>
            <w:r w:rsidRPr="0003219D">
              <w:rPr>
                <w:rFonts w:ascii="Arial" w:hAnsi="Arial" w:cs="Arial"/>
              </w:rPr>
              <w:t xml:space="preserve"> prepaid, drawdown and minimum</w:t>
            </w:r>
            <w:r w:rsidRPr="0003219D">
              <w:rPr>
                <w:rFonts w:ascii="Cambria Math" w:hAnsi="Cambria Math" w:cs="Cambria Math"/>
              </w:rPr>
              <w:t>‑</w:t>
            </w:r>
            <w:r w:rsidRPr="0003219D">
              <w:rPr>
                <w:rFonts w:ascii="Arial" w:hAnsi="Arial" w:cs="Arial"/>
              </w:rPr>
              <w:t>commit usage with carryforward rules</w:t>
            </w:r>
          </w:p>
        </w:tc>
        <w:tc>
          <w:tcPr>
            <w:tcW w:w="3512" w:type="dxa"/>
          </w:tcPr>
          <w:p w14:paraId="0A3081A2" w14:textId="5A23C5C9" w:rsidR="00EC73D7" w:rsidRPr="0003219D" w:rsidRDefault="00DE1097">
            <w:pPr>
              <w:pStyle w:val="Compact"/>
              <w:rPr>
                <w:rFonts w:ascii="Arial" w:hAnsi="Arial" w:cs="Arial"/>
              </w:rPr>
            </w:pPr>
            <w:r w:rsidRPr="0003219D">
              <w:rPr>
                <w:rFonts w:ascii="Arial" w:hAnsi="Arial" w:cs="Arial"/>
              </w:rPr>
              <w:t>If prepaid usage defaults to straight-line recognition, finance must manually adjust revenue schedules to stay compliant with ASC 606 when consumption timing varies.</w:t>
            </w:r>
          </w:p>
        </w:tc>
        <w:tc>
          <w:tcPr>
            <w:tcW w:w="2533" w:type="dxa"/>
          </w:tcPr>
          <w:p w14:paraId="01E9C726" w14:textId="77777777" w:rsidR="00EC73D7" w:rsidRPr="0003219D" w:rsidRDefault="00EC73D7">
            <w:pPr>
              <w:pStyle w:val="Compact"/>
              <w:rPr>
                <w:rFonts w:ascii="Arial" w:hAnsi="Arial" w:cs="Arial"/>
              </w:rPr>
            </w:pPr>
          </w:p>
        </w:tc>
      </w:tr>
      <w:tr w:rsidR="00AC6F16" w:rsidRPr="0003219D" w14:paraId="1C0E44D3" w14:textId="77777777" w:rsidTr="00DE1097">
        <w:tc>
          <w:tcPr>
            <w:tcW w:w="740" w:type="dxa"/>
          </w:tcPr>
          <w:p w14:paraId="65EA7F87" w14:textId="59D081D6" w:rsidR="00AC6F16" w:rsidRPr="0003219D" w:rsidRDefault="00AC6F16">
            <w:pPr>
              <w:pStyle w:val="Compact"/>
              <w:rPr>
                <w:rFonts w:ascii="Arial" w:hAnsi="Arial" w:cs="Arial"/>
              </w:rPr>
            </w:pPr>
            <w:r w:rsidRPr="0003219D">
              <w:rPr>
                <w:rFonts w:ascii="Arial" w:hAnsi="Arial" w:cs="Arial"/>
              </w:rPr>
              <w:t>3.13</w:t>
            </w:r>
          </w:p>
        </w:tc>
        <w:tc>
          <w:tcPr>
            <w:tcW w:w="2372" w:type="dxa"/>
          </w:tcPr>
          <w:p w14:paraId="702B4478" w14:textId="20F77ED5" w:rsidR="00AC6F16" w:rsidRPr="0003219D" w:rsidRDefault="00AC6F16">
            <w:pPr>
              <w:pStyle w:val="Compact"/>
              <w:rPr>
                <w:rFonts w:ascii="Arial" w:hAnsi="Arial" w:cs="Arial"/>
              </w:rPr>
            </w:pPr>
            <w:r w:rsidRPr="0003219D">
              <w:rPr>
                <w:rFonts w:ascii="Arial" w:hAnsi="Arial" w:cs="Arial"/>
              </w:rPr>
              <w:t>Enforce</w:t>
            </w:r>
            <w:r w:rsidR="004D18C8" w:rsidRPr="0003219D">
              <w:rPr>
                <w:rFonts w:ascii="Arial" w:hAnsi="Arial" w:cs="Arial"/>
              </w:rPr>
              <w:t>s</w:t>
            </w:r>
            <w:r w:rsidRPr="0003219D">
              <w:rPr>
                <w:rFonts w:ascii="Arial" w:hAnsi="Arial" w:cs="Arial"/>
              </w:rPr>
              <w:t xml:space="preserve"> billing maximums or charge caps at the contract or line level</w:t>
            </w:r>
          </w:p>
        </w:tc>
        <w:tc>
          <w:tcPr>
            <w:tcW w:w="3512" w:type="dxa"/>
          </w:tcPr>
          <w:p w14:paraId="46EE950C" w14:textId="2DCA8ECC" w:rsidR="00AC6F16" w:rsidRPr="0003219D" w:rsidRDefault="00DE1097">
            <w:pPr>
              <w:pStyle w:val="Compact"/>
              <w:rPr>
                <w:rFonts w:ascii="Arial" w:hAnsi="Arial" w:cs="Arial"/>
              </w:rPr>
            </w:pPr>
            <w:r w:rsidRPr="0003219D">
              <w:rPr>
                <w:rFonts w:ascii="Arial" w:hAnsi="Arial" w:cs="Arial"/>
              </w:rPr>
              <w:t>If charge caps aren’t enforced automatically, finance must monitor thresholds manually and issue credits when limits are exceeded.</w:t>
            </w:r>
          </w:p>
        </w:tc>
        <w:tc>
          <w:tcPr>
            <w:tcW w:w="2533" w:type="dxa"/>
          </w:tcPr>
          <w:p w14:paraId="49D8C51A" w14:textId="77777777" w:rsidR="00AC6F16" w:rsidRPr="0003219D" w:rsidRDefault="00AC6F16">
            <w:pPr>
              <w:pStyle w:val="Compact"/>
              <w:rPr>
                <w:rFonts w:ascii="Arial" w:hAnsi="Arial" w:cs="Arial"/>
              </w:rPr>
            </w:pPr>
          </w:p>
        </w:tc>
      </w:tr>
      <w:tr w:rsidR="004D18C8" w:rsidRPr="0003219D" w14:paraId="38D97B3B" w14:textId="77777777" w:rsidTr="00DE1097">
        <w:tc>
          <w:tcPr>
            <w:tcW w:w="740" w:type="dxa"/>
          </w:tcPr>
          <w:p w14:paraId="2443FE84" w14:textId="712E8CE9" w:rsidR="004D18C8" w:rsidRPr="0003219D" w:rsidRDefault="004D18C8">
            <w:pPr>
              <w:pStyle w:val="Compact"/>
              <w:rPr>
                <w:rFonts w:ascii="Arial" w:hAnsi="Arial" w:cs="Arial"/>
              </w:rPr>
            </w:pPr>
            <w:r w:rsidRPr="0003219D">
              <w:rPr>
                <w:rFonts w:ascii="Arial" w:hAnsi="Arial" w:cs="Arial"/>
              </w:rPr>
              <w:t>3.14</w:t>
            </w:r>
          </w:p>
        </w:tc>
        <w:tc>
          <w:tcPr>
            <w:tcW w:w="2372" w:type="dxa"/>
          </w:tcPr>
          <w:p w14:paraId="5F87E50E" w14:textId="228B29FD" w:rsidR="004D18C8" w:rsidRPr="0003219D" w:rsidRDefault="004D18C8">
            <w:pPr>
              <w:pStyle w:val="Compact"/>
              <w:rPr>
                <w:rFonts w:ascii="Arial" w:hAnsi="Arial" w:cs="Arial"/>
              </w:rPr>
            </w:pPr>
            <w:r w:rsidRPr="0003219D">
              <w:rPr>
                <w:rFonts w:ascii="Arial" w:hAnsi="Arial" w:cs="Arial"/>
              </w:rPr>
              <w:t>Automatically top</w:t>
            </w:r>
            <w:r w:rsidR="00DE1097" w:rsidRPr="0003219D">
              <w:rPr>
                <w:rFonts w:ascii="Arial" w:hAnsi="Arial" w:cs="Arial"/>
              </w:rPr>
              <w:t>s</w:t>
            </w:r>
            <w:r w:rsidRPr="0003219D">
              <w:rPr>
                <w:rFonts w:ascii="Arial" w:hAnsi="Arial" w:cs="Arial"/>
              </w:rPr>
              <w:t xml:space="preserve">-off prepaid credits or units when </w:t>
            </w:r>
            <w:r w:rsidRPr="0003219D">
              <w:rPr>
                <w:rFonts w:ascii="Arial" w:hAnsi="Arial" w:cs="Arial"/>
              </w:rPr>
              <w:lastRenderedPageBreak/>
              <w:t>balances reach a defined threshold</w:t>
            </w:r>
          </w:p>
        </w:tc>
        <w:tc>
          <w:tcPr>
            <w:tcW w:w="3512" w:type="dxa"/>
          </w:tcPr>
          <w:p w14:paraId="7B6B3D23" w14:textId="5C077EC7" w:rsidR="004D18C8" w:rsidRPr="0003219D" w:rsidRDefault="00DE1097">
            <w:pPr>
              <w:pStyle w:val="Compact"/>
              <w:rPr>
                <w:rFonts w:ascii="Arial" w:hAnsi="Arial" w:cs="Arial"/>
              </w:rPr>
            </w:pPr>
            <w:r w:rsidRPr="0003219D">
              <w:rPr>
                <w:rFonts w:ascii="Arial" w:hAnsi="Arial" w:cs="Arial"/>
              </w:rPr>
              <w:lastRenderedPageBreak/>
              <w:t>If top-offs aren’t automated, teams must monitor balances manually and intervene before prepaid credits run out</w:t>
            </w:r>
            <w:r w:rsidR="005411DD">
              <w:rPr>
                <w:rFonts w:ascii="Arial" w:hAnsi="Arial" w:cs="Arial"/>
              </w:rPr>
              <w:t xml:space="preserve">, </w:t>
            </w:r>
            <w:r w:rsidRPr="0003219D">
              <w:rPr>
                <w:rFonts w:ascii="Arial" w:hAnsi="Arial" w:cs="Arial"/>
              </w:rPr>
              <w:lastRenderedPageBreak/>
              <w:t>increasing workload and risking service interruptions.</w:t>
            </w:r>
          </w:p>
        </w:tc>
        <w:tc>
          <w:tcPr>
            <w:tcW w:w="2533" w:type="dxa"/>
          </w:tcPr>
          <w:p w14:paraId="5C155136" w14:textId="77777777" w:rsidR="004D18C8" w:rsidRPr="0003219D" w:rsidRDefault="004D18C8">
            <w:pPr>
              <w:pStyle w:val="Compact"/>
              <w:rPr>
                <w:rFonts w:ascii="Arial" w:hAnsi="Arial" w:cs="Arial"/>
              </w:rPr>
            </w:pPr>
          </w:p>
        </w:tc>
      </w:tr>
      <w:bookmarkEnd w:id="9"/>
    </w:tbl>
    <w:p w14:paraId="0595D6AB" w14:textId="12748793" w:rsidR="00EC73D7" w:rsidRPr="0003219D" w:rsidRDefault="00EC73D7">
      <w:pPr>
        <w:rPr>
          <w:rFonts w:ascii="Arial" w:hAnsi="Arial" w:cs="Arial"/>
        </w:rPr>
      </w:pPr>
    </w:p>
    <w:p w14:paraId="6059242D" w14:textId="77777777" w:rsidR="00EC73D7" w:rsidRPr="0003219D" w:rsidRDefault="00000000">
      <w:pPr>
        <w:pStyle w:val="Heading1"/>
        <w:rPr>
          <w:rFonts w:ascii="Arial" w:hAnsi="Arial" w:cs="Arial"/>
        </w:rPr>
      </w:pPr>
      <w:bookmarkStart w:id="10" w:name="X62529d50c32a1168c181fa30b936e2830bc549b"/>
      <w:bookmarkEnd w:id="8"/>
      <w:r w:rsidRPr="0003219D">
        <w:rPr>
          <w:rFonts w:ascii="Arial" w:hAnsi="Arial" w:cs="Arial"/>
        </w:rPr>
        <w:t>Section 4: Billing, invoicing and consolidation</w:t>
      </w:r>
    </w:p>
    <w:p w14:paraId="56CDCC2E" w14:textId="25D6A904" w:rsidR="00EC73D7" w:rsidRPr="0003219D" w:rsidRDefault="000347CA">
      <w:pPr>
        <w:pStyle w:val="FirstParagraph"/>
        <w:rPr>
          <w:rFonts w:ascii="Arial" w:hAnsi="Arial" w:cs="Arial"/>
        </w:rPr>
      </w:pPr>
      <w:r w:rsidRPr="0003219D">
        <w:rPr>
          <w:rFonts w:ascii="Arial" w:hAnsi="Arial" w:cs="Arial"/>
        </w:rPr>
        <w:t>Invoices must consolidate usage and subscription charges clearly, and support downstream processes like cash application and collections. When these functions are siloed from billing, finance teams face delays, manual effort and reconciliation gaps that slow cash flow.</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40"/>
        <w:gridCol w:w="2373"/>
        <w:gridCol w:w="3512"/>
        <w:gridCol w:w="2532"/>
      </w:tblGrid>
      <w:tr w:rsidR="00B9708E" w:rsidRPr="0003219D" w14:paraId="3F69367E" w14:textId="77777777" w:rsidTr="00B9708E">
        <w:trPr>
          <w:cnfStyle w:val="100000000000" w:firstRow="1" w:lastRow="0" w:firstColumn="0" w:lastColumn="0" w:oddVBand="0" w:evenVBand="0" w:oddHBand="0" w:evenHBand="0" w:firstRowFirstColumn="0" w:firstRowLastColumn="0" w:lastRowFirstColumn="0" w:lastRowLastColumn="0"/>
          <w:tblHeader/>
        </w:trPr>
        <w:tc>
          <w:tcPr>
            <w:tcW w:w="753" w:type="dxa"/>
          </w:tcPr>
          <w:p w14:paraId="301EE7E3" w14:textId="77777777" w:rsidR="00EC73D7" w:rsidRPr="0003219D" w:rsidRDefault="00000000">
            <w:pPr>
              <w:pStyle w:val="Compact"/>
              <w:rPr>
                <w:rFonts w:ascii="Arial" w:hAnsi="Arial" w:cs="Arial"/>
              </w:rPr>
            </w:pPr>
            <w:r w:rsidRPr="0003219D">
              <w:rPr>
                <w:rFonts w:ascii="Arial" w:hAnsi="Arial" w:cs="Arial"/>
              </w:rPr>
              <w:t>Ref</w:t>
            </w:r>
          </w:p>
        </w:tc>
        <w:tc>
          <w:tcPr>
            <w:tcW w:w="2431" w:type="dxa"/>
          </w:tcPr>
          <w:p w14:paraId="2CB2CDE0" w14:textId="77777777" w:rsidR="00EC73D7" w:rsidRPr="0003219D" w:rsidRDefault="00000000">
            <w:pPr>
              <w:pStyle w:val="Compact"/>
              <w:rPr>
                <w:rFonts w:ascii="Arial" w:hAnsi="Arial" w:cs="Arial"/>
              </w:rPr>
            </w:pPr>
            <w:r w:rsidRPr="0003219D">
              <w:rPr>
                <w:rFonts w:ascii="Arial" w:hAnsi="Arial" w:cs="Arial"/>
              </w:rPr>
              <w:t>Requirement</w:t>
            </w:r>
          </w:p>
        </w:tc>
        <w:tc>
          <w:tcPr>
            <w:tcW w:w="3600" w:type="dxa"/>
          </w:tcPr>
          <w:p w14:paraId="6290DF1E" w14:textId="77777777" w:rsidR="00EC73D7" w:rsidRPr="0003219D" w:rsidRDefault="00000000">
            <w:pPr>
              <w:pStyle w:val="Compact"/>
              <w:rPr>
                <w:rFonts w:ascii="Arial" w:hAnsi="Arial" w:cs="Arial"/>
              </w:rPr>
            </w:pPr>
            <w:r w:rsidRPr="0003219D">
              <w:rPr>
                <w:rFonts w:ascii="Arial" w:hAnsi="Arial" w:cs="Arial"/>
              </w:rPr>
              <w:t>Considerations</w:t>
            </w:r>
          </w:p>
        </w:tc>
        <w:tc>
          <w:tcPr>
            <w:tcW w:w="2594" w:type="dxa"/>
          </w:tcPr>
          <w:p w14:paraId="6ACC6C72"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2739A763" w14:textId="77777777" w:rsidTr="00B9708E">
        <w:tc>
          <w:tcPr>
            <w:tcW w:w="753" w:type="dxa"/>
          </w:tcPr>
          <w:p w14:paraId="425C5AF6" w14:textId="77777777" w:rsidR="00EC73D7" w:rsidRPr="0003219D" w:rsidRDefault="00000000">
            <w:pPr>
              <w:pStyle w:val="Compact"/>
              <w:rPr>
                <w:rFonts w:ascii="Arial" w:hAnsi="Arial" w:cs="Arial"/>
              </w:rPr>
            </w:pPr>
            <w:r w:rsidRPr="0003219D">
              <w:rPr>
                <w:rFonts w:ascii="Arial" w:hAnsi="Arial" w:cs="Arial"/>
              </w:rPr>
              <w:t>4.1</w:t>
            </w:r>
          </w:p>
        </w:tc>
        <w:tc>
          <w:tcPr>
            <w:tcW w:w="2431" w:type="dxa"/>
          </w:tcPr>
          <w:p w14:paraId="6C1A6B60" w14:textId="173EE3BB" w:rsidR="00EC73D7" w:rsidRPr="0003219D" w:rsidRDefault="00000000">
            <w:pPr>
              <w:pStyle w:val="Compact"/>
              <w:rPr>
                <w:rFonts w:ascii="Arial" w:hAnsi="Arial" w:cs="Arial"/>
              </w:rPr>
            </w:pPr>
            <w:r w:rsidRPr="0003219D">
              <w:rPr>
                <w:rFonts w:ascii="Arial" w:hAnsi="Arial" w:cs="Arial"/>
              </w:rPr>
              <w:t>Generate</w:t>
            </w:r>
            <w:r w:rsidR="00DE1097" w:rsidRPr="0003219D">
              <w:rPr>
                <w:rFonts w:ascii="Arial" w:hAnsi="Arial" w:cs="Arial"/>
              </w:rPr>
              <w:t>s</w:t>
            </w:r>
            <w:r w:rsidRPr="0003219D">
              <w:rPr>
                <w:rFonts w:ascii="Arial" w:hAnsi="Arial" w:cs="Arial"/>
              </w:rPr>
              <w:t xml:space="preserve"> a single invoice across multiple subscriptions or services for a customer</w:t>
            </w:r>
          </w:p>
        </w:tc>
        <w:tc>
          <w:tcPr>
            <w:tcW w:w="3600" w:type="dxa"/>
          </w:tcPr>
          <w:p w14:paraId="4C96442D" w14:textId="77777777" w:rsidR="00EC73D7" w:rsidRPr="0003219D" w:rsidRDefault="00000000">
            <w:pPr>
              <w:pStyle w:val="Compact"/>
              <w:rPr>
                <w:rFonts w:ascii="Arial" w:hAnsi="Arial" w:cs="Arial"/>
              </w:rPr>
            </w:pPr>
            <w:r w:rsidRPr="0003219D">
              <w:rPr>
                <w:rFonts w:ascii="Arial" w:hAnsi="Arial" w:cs="Arial"/>
              </w:rPr>
              <w:t>If each subscription generates its own invoice, customers receive multiple fragmented bills – increasing the chance of missed payments, confusion and billing disputes.</w:t>
            </w:r>
          </w:p>
        </w:tc>
        <w:tc>
          <w:tcPr>
            <w:tcW w:w="2594" w:type="dxa"/>
          </w:tcPr>
          <w:p w14:paraId="3BC24764" w14:textId="77777777" w:rsidR="00EC73D7" w:rsidRPr="0003219D" w:rsidRDefault="00EC73D7">
            <w:pPr>
              <w:pStyle w:val="Compact"/>
              <w:rPr>
                <w:rFonts w:ascii="Arial" w:hAnsi="Arial" w:cs="Arial"/>
              </w:rPr>
            </w:pPr>
          </w:p>
        </w:tc>
      </w:tr>
      <w:tr w:rsidR="00B9708E" w:rsidRPr="0003219D" w14:paraId="6F736F0C" w14:textId="77777777" w:rsidTr="00B9708E">
        <w:tc>
          <w:tcPr>
            <w:tcW w:w="753" w:type="dxa"/>
          </w:tcPr>
          <w:p w14:paraId="69D7558F" w14:textId="77777777" w:rsidR="00EC73D7" w:rsidRPr="0003219D" w:rsidRDefault="00000000">
            <w:pPr>
              <w:pStyle w:val="Compact"/>
              <w:rPr>
                <w:rFonts w:ascii="Arial" w:hAnsi="Arial" w:cs="Arial"/>
              </w:rPr>
            </w:pPr>
            <w:r w:rsidRPr="0003219D">
              <w:rPr>
                <w:rFonts w:ascii="Arial" w:hAnsi="Arial" w:cs="Arial"/>
              </w:rPr>
              <w:t>4.2</w:t>
            </w:r>
          </w:p>
        </w:tc>
        <w:tc>
          <w:tcPr>
            <w:tcW w:w="2431" w:type="dxa"/>
          </w:tcPr>
          <w:p w14:paraId="04FA2B91" w14:textId="62B328FD" w:rsidR="00EC73D7" w:rsidRPr="0003219D" w:rsidRDefault="00000000">
            <w:pPr>
              <w:pStyle w:val="Compact"/>
              <w:rPr>
                <w:rFonts w:ascii="Arial" w:hAnsi="Arial" w:cs="Arial"/>
              </w:rPr>
            </w:pPr>
            <w:r w:rsidRPr="0003219D">
              <w:rPr>
                <w:rFonts w:ascii="Arial" w:hAnsi="Arial" w:cs="Arial"/>
              </w:rPr>
              <w:t>Consolidate</w:t>
            </w:r>
            <w:r w:rsidR="00DE1097" w:rsidRPr="0003219D">
              <w:rPr>
                <w:rFonts w:ascii="Arial" w:hAnsi="Arial" w:cs="Arial"/>
              </w:rPr>
              <w:t>s</w:t>
            </w:r>
            <w:r w:rsidRPr="0003219D">
              <w:rPr>
                <w:rFonts w:ascii="Arial" w:hAnsi="Arial" w:cs="Arial"/>
              </w:rPr>
              <w:t xml:space="preserve"> invoices across entities or business units where appropriate (e.g. global customers)</w:t>
            </w:r>
          </w:p>
        </w:tc>
        <w:tc>
          <w:tcPr>
            <w:tcW w:w="3600" w:type="dxa"/>
          </w:tcPr>
          <w:p w14:paraId="0C65FA46" w14:textId="77777777" w:rsidR="00EC73D7" w:rsidRPr="0003219D" w:rsidRDefault="00000000">
            <w:pPr>
              <w:pStyle w:val="Compact"/>
              <w:rPr>
                <w:rFonts w:ascii="Arial" w:hAnsi="Arial" w:cs="Arial"/>
              </w:rPr>
            </w:pPr>
            <w:r w:rsidRPr="0003219D">
              <w:rPr>
                <w:rFonts w:ascii="Arial" w:hAnsi="Arial" w:cs="Arial"/>
              </w:rPr>
              <w:t>When billing is restricted to a 1:1 relationship between customer and entity, teams must manually combine or reissue invoices to meet enterprise customer expectations.</w:t>
            </w:r>
          </w:p>
        </w:tc>
        <w:tc>
          <w:tcPr>
            <w:tcW w:w="2594" w:type="dxa"/>
          </w:tcPr>
          <w:p w14:paraId="3F3F036E" w14:textId="77777777" w:rsidR="00EC73D7" w:rsidRPr="0003219D" w:rsidRDefault="00EC73D7">
            <w:pPr>
              <w:pStyle w:val="Compact"/>
              <w:rPr>
                <w:rFonts w:ascii="Arial" w:hAnsi="Arial" w:cs="Arial"/>
              </w:rPr>
            </w:pPr>
          </w:p>
        </w:tc>
      </w:tr>
      <w:tr w:rsidR="00B9708E" w:rsidRPr="0003219D" w14:paraId="4B7011FC" w14:textId="77777777" w:rsidTr="00B9708E">
        <w:tc>
          <w:tcPr>
            <w:tcW w:w="753" w:type="dxa"/>
          </w:tcPr>
          <w:p w14:paraId="3A780244" w14:textId="77777777" w:rsidR="00EC73D7" w:rsidRPr="0003219D" w:rsidRDefault="00000000">
            <w:pPr>
              <w:pStyle w:val="Compact"/>
              <w:rPr>
                <w:rFonts w:ascii="Arial" w:hAnsi="Arial" w:cs="Arial"/>
              </w:rPr>
            </w:pPr>
            <w:r w:rsidRPr="0003219D">
              <w:rPr>
                <w:rFonts w:ascii="Arial" w:hAnsi="Arial" w:cs="Arial"/>
              </w:rPr>
              <w:t>4.3</w:t>
            </w:r>
          </w:p>
        </w:tc>
        <w:tc>
          <w:tcPr>
            <w:tcW w:w="2431" w:type="dxa"/>
          </w:tcPr>
          <w:p w14:paraId="28FBBB8D" w14:textId="255F2124" w:rsidR="00EC73D7" w:rsidRPr="0003219D" w:rsidRDefault="00000000">
            <w:pPr>
              <w:pStyle w:val="Compact"/>
              <w:rPr>
                <w:rFonts w:ascii="Arial" w:hAnsi="Arial" w:cs="Arial"/>
              </w:rPr>
            </w:pPr>
            <w:r w:rsidRPr="0003219D">
              <w:rPr>
                <w:rFonts w:ascii="Arial" w:hAnsi="Arial" w:cs="Arial"/>
              </w:rPr>
              <w:t>Group</w:t>
            </w:r>
            <w:r w:rsidR="00DE1097" w:rsidRPr="0003219D">
              <w:rPr>
                <w:rFonts w:ascii="Arial" w:hAnsi="Arial" w:cs="Arial"/>
              </w:rPr>
              <w:t>s</w:t>
            </w:r>
            <w:r w:rsidRPr="0003219D">
              <w:rPr>
                <w:rFonts w:ascii="Arial" w:hAnsi="Arial" w:cs="Arial"/>
              </w:rPr>
              <w:t xml:space="preserve"> or format</w:t>
            </w:r>
            <w:r w:rsidR="00DE1097" w:rsidRPr="0003219D">
              <w:rPr>
                <w:rFonts w:ascii="Arial" w:hAnsi="Arial" w:cs="Arial"/>
              </w:rPr>
              <w:t>s</w:t>
            </w:r>
            <w:r w:rsidRPr="0003219D">
              <w:rPr>
                <w:rFonts w:ascii="Arial" w:hAnsi="Arial" w:cs="Arial"/>
              </w:rPr>
              <w:t xml:space="preserve"> invoice lines by configurable logic (e.g. product family, business unit, region)</w:t>
            </w:r>
          </w:p>
        </w:tc>
        <w:tc>
          <w:tcPr>
            <w:tcW w:w="3600" w:type="dxa"/>
          </w:tcPr>
          <w:p w14:paraId="5C56E9B0" w14:textId="77777777" w:rsidR="00EC73D7" w:rsidRPr="0003219D" w:rsidRDefault="00000000">
            <w:pPr>
              <w:pStyle w:val="Compact"/>
              <w:rPr>
                <w:rFonts w:ascii="Arial" w:hAnsi="Arial" w:cs="Arial"/>
              </w:rPr>
            </w:pPr>
            <w:r w:rsidRPr="0003219D">
              <w:rPr>
                <w:rFonts w:ascii="Arial" w:hAnsi="Arial" w:cs="Arial"/>
              </w:rPr>
              <w:t>If invoice formatting is rigid, finance teams can’t present billing in a customer</w:t>
            </w:r>
            <w:r w:rsidRPr="0003219D">
              <w:rPr>
                <w:rFonts w:ascii="Cambria Math" w:hAnsi="Cambria Math" w:cs="Cambria Math"/>
              </w:rPr>
              <w:t>‑</w:t>
            </w:r>
            <w:r w:rsidRPr="0003219D">
              <w:rPr>
                <w:rFonts w:ascii="Arial" w:hAnsi="Arial" w:cs="Arial"/>
              </w:rPr>
              <w:t>friendly format – reducing clarity and increasing the chance of billing inquiries.</w:t>
            </w:r>
          </w:p>
        </w:tc>
        <w:tc>
          <w:tcPr>
            <w:tcW w:w="2594" w:type="dxa"/>
          </w:tcPr>
          <w:p w14:paraId="0D4FDA22" w14:textId="77777777" w:rsidR="00EC73D7" w:rsidRPr="0003219D" w:rsidRDefault="00EC73D7">
            <w:pPr>
              <w:pStyle w:val="Compact"/>
              <w:rPr>
                <w:rFonts w:ascii="Arial" w:hAnsi="Arial" w:cs="Arial"/>
              </w:rPr>
            </w:pPr>
          </w:p>
        </w:tc>
      </w:tr>
      <w:tr w:rsidR="00B9708E" w:rsidRPr="0003219D" w14:paraId="5FFDF01A" w14:textId="77777777" w:rsidTr="00B9708E">
        <w:tc>
          <w:tcPr>
            <w:tcW w:w="753" w:type="dxa"/>
          </w:tcPr>
          <w:p w14:paraId="256EBCE7" w14:textId="77777777" w:rsidR="00EC73D7" w:rsidRPr="0003219D" w:rsidRDefault="00000000">
            <w:pPr>
              <w:pStyle w:val="Compact"/>
              <w:rPr>
                <w:rFonts w:ascii="Arial" w:hAnsi="Arial" w:cs="Arial"/>
              </w:rPr>
            </w:pPr>
            <w:r w:rsidRPr="0003219D">
              <w:rPr>
                <w:rFonts w:ascii="Arial" w:hAnsi="Arial" w:cs="Arial"/>
              </w:rPr>
              <w:t>4.4</w:t>
            </w:r>
          </w:p>
        </w:tc>
        <w:tc>
          <w:tcPr>
            <w:tcW w:w="2431" w:type="dxa"/>
          </w:tcPr>
          <w:p w14:paraId="2451A0EB" w14:textId="4D873194" w:rsidR="00EC73D7" w:rsidRPr="0003219D" w:rsidRDefault="00000000">
            <w:pPr>
              <w:pStyle w:val="Compact"/>
              <w:rPr>
                <w:rFonts w:ascii="Arial" w:hAnsi="Arial" w:cs="Arial"/>
              </w:rPr>
            </w:pPr>
            <w:r w:rsidRPr="0003219D">
              <w:rPr>
                <w:rFonts w:ascii="Arial" w:hAnsi="Arial" w:cs="Arial"/>
              </w:rPr>
              <w:t>Include</w:t>
            </w:r>
            <w:r w:rsidR="00DE1097" w:rsidRPr="0003219D">
              <w:rPr>
                <w:rFonts w:ascii="Arial" w:hAnsi="Arial" w:cs="Arial"/>
              </w:rPr>
              <w:t>s</w:t>
            </w:r>
            <w:r w:rsidRPr="0003219D">
              <w:rPr>
                <w:rFonts w:ascii="Arial" w:hAnsi="Arial" w:cs="Arial"/>
              </w:rPr>
              <w:t xml:space="preserve"> usage</w:t>
            </w:r>
            <w:r w:rsidRPr="0003219D">
              <w:rPr>
                <w:rFonts w:ascii="Cambria Math" w:hAnsi="Cambria Math" w:cs="Cambria Math"/>
              </w:rPr>
              <w:t>‑</w:t>
            </w:r>
            <w:r w:rsidRPr="0003219D">
              <w:rPr>
                <w:rFonts w:ascii="Arial" w:hAnsi="Arial" w:cs="Arial"/>
              </w:rPr>
              <w:t>based and fixed</w:t>
            </w:r>
            <w:r w:rsidRPr="0003219D">
              <w:rPr>
                <w:rFonts w:ascii="Cambria Math" w:hAnsi="Cambria Math" w:cs="Cambria Math"/>
              </w:rPr>
              <w:t>‑</w:t>
            </w:r>
            <w:r w:rsidRPr="0003219D">
              <w:rPr>
                <w:rFonts w:ascii="Arial" w:hAnsi="Arial" w:cs="Arial"/>
              </w:rPr>
              <w:t>fee charges on the same invoice</w:t>
            </w:r>
          </w:p>
        </w:tc>
        <w:tc>
          <w:tcPr>
            <w:tcW w:w="3600" w:type="dxa"/>
          </w:tcPr>
          <w:p w14:paraId="6A971748" w14:textId="430DAE5A" w:rsidR="00EC73D7" w:rsidRPr="0003219D" w:rsidRDefault="00000000">
            <w:pPr>
              <w:pStyle w:val="Compact"/>
              <w:rPr>
                <w:rFonts w:ascii="Arial" w:hAnsi="Arial" w:cs="Arial"/>
              </w:rPr>
            </w:pPr>
            <w:r w:rsidRPr="0003219D">
              <w:rPr>
                <w:rFonts w:ascii="Arial" w:hAnsi="Arial" w:cs="Arial"/>
              </w:rPr>
              <w:t>Systems that require usage and fixed billing to be handled separately result in partial invoices</w:t>
            </w:r>
            <w:r w:rsidR="005411DD">
              <w:rPr>
                <w:rFonts w:ascii="Arial" w:hAnsi="Arial" w:cs="Arial"/>
              </w:rPr>
              <w:t>,</w:t>
            </w:r>
            <w:r w:rsidRPr="0003219D">
              <w:rPr>
                <w:rFonts w:ascii="Arial" w:hAnsi="Arial" w:cs="Arial"/>
              </w:rPr>
              <w:t xml:space="preserve"> which increases reconciliation work and can slow collections.</w:t>
            </w:r>
          </w:p>
        </w:tc>
        <w:tc>
          <w:tcPr>
            <w:tcW w:w="2594" w:type="dxa"/>
          </w:tcPr>
          <w:p w14:paraId="41652309" w14:textId="77777777" w:rsidR="00EC73D7" w:rsidRPr="0003219D" w:rsidRDefault="00EC73D7">
            <w:pPr>
              <w:pStyle w:val="Compact"/>
              <w:rPr>
                <w:rFonts w:ascii="Arial" w:hAnsi="Arial" w:cs="Arial"/>
              </w:rPr>
            </w:pPr>
          </w:p>
        </w:tc>
      </w:tr>
      <w:tr w:rsidR="00B9708E" w:rsidRPr="0003219D" w14:paraId="0E572972" w14:textId="77777777" w:rsidTr="00B9708E">
        <w:tc>
          <w:tcPr>
            <w:tcW w:w="753" w:type="dxa"/>
          </w:tcPr>
          <w:p w14:paraId="2BF0FB80" w14:textId="77777777" w:rsidR="00EC73D7" w:rsidRPr="0003219D" w:rsidRDefault="00000000">
            <w:pPr>
              <w:pStyle w:val="Compact"/>
              <w:rPr>
                <w:rFonts w:ascii="Arial" w:hAnsi="Arial" w:cs="Arial"/>
              </w:rPr>
            </w:pPr>
            <w:r w:rsidRPr="0003219D">
              <w:rPr>
                <w:rFonts w:ascii="Arial" w:hAnsi="Arial" w:cs="Arial"/>
              </w:rPr>
              <w:t>4.5</w:t>
            </w:r>
          </w:p>
        </w:tc>
        <w:tc>
          <w:tcPr>
            <w:tcW w:w="2431" w:type="dxa"/>
          </w:tcPr>
          <w:p w14:paraId="56ED201C" w14:textId="5685C9E4" w:rsidR="00EC73D7" w:rsidRPr="0003219D" w:rsidRDefault="00000000">
            <w:pPr>
              <w:pStyle w:val="Compact"/>
              <w:rPr>
                <w:rFonts w:ascii="Arial" w:hAnsi="Arial" w:cs="Arial"/>
              </w:rPr>
            </w:pPr>
            <w:r w:rsidRPr="0003219D">
              <w:rPr>
                <w:rFonts w:ascii="Arial" w:hAnsi="Arial" w:cs="Arial"/>
              </w:rPr>
              <w:t>Define</w:t>
            </w:r>
            <w:r w:rsidR="00DE1097" w:rsidRPr="0003219D">
              <w:rPr>
                <w:rFonts w:ascii="Arial" w:hAnsi="Arial" w:cs="Arial"/>
              </w:rPr>
              <w:t>s</w:t>
            </w:r>
            <w:r w:rsidRPr="0003219D">
              <w:rPr>
                <w:rFonts w:ascii="Arial" w:hAnsi="Arial" w:cs="Arial"/>
              </w:rPr>
              <w:t xml:space="preserve"> billing responsibilities and payment terms per charge or subscription line</w:t>
            </w:r>
          </w:p>
        </w:tc>
        <w:tc>
          <w:tcPr>
            <w:tcW w:w="3600" w:type="dxa"/>
          </w:tcPr>
          <w:p w14:paraId="61F5BE5E" w14:textId="2B34FAC7" w:rsidR="00EC73D7" w:rsidRPr="0003219D" w:rsidRDefault="00000000">
            <w:pPr>
              <w:pStyle w:val="Compact"/>
              <w:rPr>
                <w:rFonts w:ascii="Arial" w:hAnsi="Arial" w:cs="Arial"/>
              </w:rPr>
            </w:pPr>
            <w:r w:rsidRPr="0003219D">
              <w:rPr>
                <w:rFonts w:ascii="Arial" w:hAnsi="Arial" w:cs="Arial"/>
              </w:rPr>
              <w:t>When systems only allow a single bill</w:t>
            </w:r>
            <w:r w:rsidRPr="0003219D">
              <w:rPr>
                <w:rFonts w:ascii="Cambria Math" w:hAnsi="Cambria Math" w:cs="Cambria Math"/>
              </w:rPr>
              <w:t>‑</w:t>
            </w:r>
            <w:r w:rsidRPr="0003219D">
              <w:rPr>
                <w:rFonts w:ascii="Arial" w:hAnsi="Arial" w:cs="Arial"/>
              </w:rPr>
              <w:t xml:space="preserve">to and payment term per customer, it becomes difficult to manage contracts with split payment responsibilities or shared </w:t>
            </w:r>
            <w:r w:rsidRPr="0003219D">
              <w:rPr>
                <w:rFonts w:ascii="Arial" w:hAnsi="Arial" w:cs="Arial"/>
              </w:rPr>
              <w:lastRenderedPageBreak/>
              <w:t>services.</w:t>
            </w:r>
            <w:r w:rsidR="004D18C8" w:rsidRPr="0003219D">
              <w:rPr>
                <w:rFonts w:ascii="Arial" w:hAnsi="Arial" w:cs="Arial"/>
              </w:rPr>
              <w:t xml:space="preserve"> Support multiple billing contacts per account or contract and allocate specific line items to different legal entities with separate invoicing.</w:t>
            </w:r>
          </w:p>
        </w:tc>
        <w:tc>
          <w:tcPr>
            <w:tcW w:w="2594" w:type="dxa"/>
          </w:tcPr>
          <w:p w14:paraId="2B950114" w14:textId="77777777" w:rsidR="00EC73D7" w:rsidRPr="0003219D" w:rsidRDefault="00EC73D7">
            <w:pPr>
              <w:pStyle w:val="Compact"/>
              <w:rPr>
                <w:rFonts w:ascii="Arial" w:hAnsi="Arial" w:cs="Arial"/>
              </w:rPr>
            </w:pPr>
          </w:p>
        </w:tc>
      </w:tr>
      <w:tr w:rsidR="00B9708E" w:rsidRPr="0003219D" w14:paraId="05ACB4F7" w14:textId="77777777" w:rsidTr="00B9708E">
        <w:tc>
          <w:tcPr>
            <w:tcW w:w="753" w:type="dxa"/>
          </w:tcPr>
          <w:p w14:paraId="40DDB156" w14:textId="77777777" w:rsidR="00EC73D7" w:rsidRPr="0003219D" w:rsidRDefault="00000000">
            <w:pPr>
              <w:pStyle w:val="Compact"/>
              <w:rPr>
                <w:rFonts w:ascii="Arial" w:hAnsi="Arial" w:cs="Arial"/>
              </w:rPr>
            </w:pPr>
            <w:r w:rsidRPr="0003219D">
              <w:rPr>
                <w:rFonts w:ascii="Arial" w:hAnsi="Arial" w:cs="Arial"/>
              </w:rPr>
              <w:t>4.6</w:t>
            </w:r>
          </w:p>
        </w:tc>
        <w:tc>
          <w:tcPr>
            <w:tcW w:w="2431" w:type="dxa"/>
          </w:tcPr>
          <w:p w14:paraId="13E90F8E" w14:textId="659F0279" w:rsidR="00EC73D7" w:rsidRPr="0003219D" w:rsidRDefault="00000000">
            <w:pPr>
              <w:pStyle w:val="Compact"/>
              <w:rPr>
                <w:rFonts w:ascii="Arial" w:hAnsi="Arial" w:cs="Arial"/>
              </w:rPr>
            </w:pPr>
            <w:r w:rsidRPr="0003219D">
              <w:rPr>
                <w:rFonts w:ascii="Arial" w:hAnsi="Arial" w:cs="Arial"/>
              </w:rPr>
              <w:t>Support</w:t>
            </w:r>
            <w:r w:rsidR="00DE1097" w:rsidRPr="0003219D">
              <w:rPr>
                <w:rFonts w:ascii="Arial" w:hAnsi="Arial" w:cs="Arial"/>
              </w:rPr>
              <w:t>s</w:t>
            </w:r>
            <w:r w:rsidRPr="0003219D">
              <w:rPr>
                <w:rFonts w:ascii="Arial" w:hAnsi="Arial" w:cs="Arial"/>
              </w:rPr>
              <w:t xml:space="preserve"> pooled usage across multiple users or accounts under a single customer or contract</w:t>
            </w:r>
          </w:p>
        </w:tc>
        <w:tc>
          <w:tcPr>
            <w:tcW w:w="3600" w:type="dxa"/>
          </w:tcPr>
          <w:p w14:paraId="6F066FDB" w14:textId="6633BAE1" w:rsidR="00EC73D7" w:rsidRPr="0003219D" w:rsidRDefault="00000000">
            <w:pPr>
              <w:pStyle w:val="Compact"/>
              <w:rPr>
                <w:rFonts w:ascii="Arial" w:hAnsi="Arial" w:cs="Arial"/>
              </w:rPr>
            </w:pPr>
            <w:r w:rsidRPr="0003219D">
              <w:rPr>
                <w:rFonts w:ascii="Arial" w:hAnsi="Arial" w:cs="Arial"/>
              </w:rPr>
              <w:t>Without pooled usage capabilities, customers with multiple users or locations must be billed separately</w:t>
            </w:r>
            <w:r w:rsidR="005411DD">
              <w:rPr>
                <w:rFonts w:ascii="Arial" w:hAnsi="Arial" w:cs="Arial"/>
              </w:rPr>
              <w:t xml:space="preserve">, </w:t>
            </w:r>
            <w:r w:rsidRPr="0003219D">
              <w:rPr>
                <w:rFonts w:ascii="Arial" w:hAnsi="Arial" w:cs="Arial"/>
              </w:rPr>
              <w:t>increasing invoice volume and misaligning with contract expectations.</w:t>
            </w:r>
          </w:p>
        </w:tc>
        <w:tc>
          <w:tcPr>
            <w:tcW w:w="2594" w:type="dxa"/>
          </w:tcPr>
          <w:p w14:paraId="64FE2A61" w14:textId="77777777" w:rsidR="00EC73D7" w:rsidRPr="0003219D" w:rsidRDefault="00EC73D7">
            <w:pPr>
              <w:pStyle w:val="Compact"/>
              <w:rPr>
                <w:rFonts w:ascii="Arial" w:hAnsi="Arial" w:cs="Arial"/>
              </w:rPr>
            </w:pPr>
          </w:p>
        </w:tc>
      </w:tr>
      <w:tr w:rsidR="00B9708E" w:rsidRPr="0003219D" w14:paraId="23B2E0B0" w14:textId="77777777" w:rsidTr="00B9708E">
        <w:tc>
          <w:tcPr>
            <w:tcW w:w="753" w:type="dxa"/>
          </w:tcPr>
          <w:p w14:paraId="4DA72685" w14:textId="77777777" w:rsidR="00EC73D7" w:rsidRPr="0003219D" w:rsidRDefault="00000000">
            <w:pPr>
              <w:pStyle w:val="Compact"/>
              <w:rPr>
                <w:rFonts w:ascii="Arial" w:hAnsi="Arial" w:cs="Arial"/>
              </w:rPr>
            </w:pPr>
            <w:r w:rsidRPr="0003219D">
              <w:rPr>
                <w:rFonts w:ascii="Arial" w:hAnsi="Arial" w:cs="Arial"/>
              </w:rPr>
              <w:t>4.7</w:t>
            </w:r>
          </w:p>
        </w:tc>
        <w:tc>
          <w:tcPr>
            <w:tcW w:w="2431" w:type="dxa"/>
          </w:tcPr>
          <w:p w14:paraId="207D9E66" w14:textId="202EC336" w:rsidR="00EC73D7" w:rsidRPr="0003219D" w:rsidRDefault="00000000">
            <w:pPr>
              <w:pStyle w:val="Compact"/>
              <w:rPr>
                <w:rFonts w:ascii="Arial" w:hAnsi="Arial" w:cs="Arial"/>
              </w:rPr>
            </w:pPr>
            <w:r w:rsidRPr="0003219D">
              <w:rPr>
                <w:rFonts w:ascii="Arial" w:hAnsi="Arial" w:cs="Arial"/>
              </w:rPr>
              <w:t>Configure</w:t>
            </w:r>
            <w:r w:rsidR="00DE1097" w:rsidRPr="0003219D">
              <w:rPr>
                <w:rFonts w:ascii="Arial" w:hAnsi="Arial" w:cs="Arial"/>
              </w:rPr>
              <w:t>s</w:t>
            </w:r>
            <w:r w:rsidRPr="0003219D">
              <w:rPr>
                <w:rFonts w:ascii="Arial" w:hAnsi="Arial" w:cs="Arial"/>
              </w:rPr>
              <w:t xml:space="preserve"> invoice timing independently of subscription start date or renewal cycle</w:t>
            </w:r>
          </w:p>
        </w:tc>
        <w:tc>
          <w:tcPr>
            <w:tcW w:w="3600" w:type="dxa"/>
          </w:tcPr>
          <w:p w14:paraId="0E327FFB" w14:textId="19D2710D" w:rsidR="00EC73D7" w:rsidRPr="0003219D" w:rsidRDefault="00000000">
            <w:pPr>
              <w:pStyle w:val="Compact"/>
              <w:rPr>
                <w:rFonts w:ascii="Arial" w:hAnsi="Arial" w:cs="Arial"/>
              </w:rPr>
            </w:pPr>
            <w:r w:rsidRPr="0003219D">
              <w:rPr>
                <w:rFonts w:ascii="Arial" w:hAnsi="Arial" w:cs="Arial"/>
              </w:rPr>
              <w:t>If billing schedules are tied directly to subscription terms, teams must manipulate contract data to align with preferred invoice timing</w:t>
            </w:r>
            <w:r w:rsidR="005411DD">
              <w:rPr>
                <w:rFonts w:ascii="Arial" w:hAnsi="Arial" w:cs="Arial"/>
              </w:rPr>
              <w:t xml:space="preserve">, </w:t>
            </w:r>
            <w:r w:rsidRPr="0003219D">
              <w:rPr>
                <w:rFonts w:ascii="Arial" w:hAnsi="Arial" w:cs="Arial"/>
              </w:rPr>
              <w:t>which creates audit and reporting complications.</w:t>
            </w:r>
          </w:p>
        </w:tc>
        <w:tc>
          <w:tcPr>
            <w:tcW w:w="2594" w:type="dxa"/>
          </w:tcPr>
          <w:p w14:paraId="42647A41" w14:textId="77777777" w:rsidR="00EC73D7" w:rsidRPr="0003219D" w:rsidRDefault="00EC73D7">
            <w:pPr>
              <w:pStyle w:val="Compact"/>
              <w:rPr>
                <w:rFonts w:ascii="Arial" w:hAnsi="Arial" w:cs="Arial"/>
              </w:rPr>
            </w:pPr>
          </w:p>
        </w:tc>
      </w:tr>
      <w:tr w:rsidR="00B9708E" w:rsidRPr="0003219D" w14:paraId="578D9136" w14:textId="77777777" w:rsidTr="00B9708E">
        <w:tc>
          <w:tcPr>
            <w:tcW w:w="753" w:type="dxa"/>
          </w:tcPr>
          <w:p w14:paraId="206287F2" w14:textId="77777777" w:rsidR="00EC73D7" w:rsidRPr="0003219D" w:rsidRDefault="00000000">
            <w:pPr>
              <w:pStyle w:val="Compact"/>
              <w:rPr>
                <w:rFonts w:ascii="Arial" w:hAnsi="Arial" w:cs="Arial"/>
              </w:rPr>
            </w:pPr>
            <w:r w:rsidRPr="0003219D">
              <w:rPr>
                <w:rFonts w:ascii="Arial" w:hAnsi="Arial" w:cs="Arial"/>
              </w:rPr>
              <w:t>4.8</w:t>
            </w:r>
          </w:p>
        </w:tc>
        <w:tc>
          <w:tcPr>
            <w:tcW w:w="2431" w:type="dxa"/>
          </w:tcPr>
          <w:p w14:paraId="7F0617BE" w14:textId="7244DB1D" w:rsidR="00EC73D7" w:rsidRPr="0003219D" w:rsidRDefault="00000000">
            <w:pPr>
              <w:pStyle w:val="Compact"/>
              <w:rPr>
                <w:rFonts w:ascii="Arial" w:hAnsi="Arial" w:cs="Arial"/>
              </w:rPr>
            </w:pPr>
            <w:r w:rsidRPr="0003219D">
              <w:rPr>
                <w:rFonts w:ascii="Arial" w:hAnsi="Arial" w:cs="Arial"/>
              </w:rPr>
              <w:t>Preview</w:t>
            </w:r>
            <w:r w:rsidR="00DE1097" w:rsidRPr="0003219D">
              <w:rPr>
                <w:rFonts w:ascii="Arial" w:hAnsi="Arial" w:cs="Arial"/>
              </w:rPr>
              <w:t xml:space="preserve">s </w:t>
            </w:r>
            <w:r w:rsidRPr="0003219D">
              <w:rPr>
                <w:rFonts w:ascii="Arial" w:hAnsi="Arial" w:cs="Arial"/>
              </w:rPr>
              <w:t>invoices prior to issuing, with full charge</w:t>
            </w:r>
            <w:r w:rsidRPr="0003219D">
              <w:rPr>
                <w:rFonts w:ascii="Cambria Math" w:hAnsi="Cambria Math" w:cs="Cambria Math"/>
              </w:rPr>
              <w:t>‑</w:t>
            </w:r>
            <w:r w:rsidRPr="0003219D">
              <w:rPr>
                <w:rFonts w:ascii="Arial" w:hAnsi="Arial" w:cs="Arial"/>
              </w:rPr>
              <w:t>level and tax detail</w:t>
            </w:r>
          </w:p>
        </w:tc>
        <w:tc>
          <w:tcPr>
            <w:tcW w:w="3600" w:type="dxa"/>
          </w:tcPr>
          <w:p w14:paraId="27C9C325" w14:textId="39F70690" w:rsidR="00EC73D7" w:rsidRPr="0003219D" w:rsidRDefault="00000000">
            <w:pPr>
              <w:pStyle w:val="Compact"/>
              <w:rPr>
                <w:rFonts w:ascii="Arial" w:hAnsi="Arial" w:cs="Arial"/>
              </w:rPr>
            </w:pPr>
            <w:r w:rsidRPr="0003219D">
              <w:rPr>
                <w:rFonts w:ascii="Arial" w:hAnsi="Arial" w:cs="Arial"/>
              </w:rPr>
              <w:t>Lack of preview functionality increases the risk of errors reaching the customer</w:t>
            </w:r>
            <w:r w:rsidR="005411DD">
              <w:rPr>
                <w:rFonts w:ascii="Arial" w:hAnsi="Arial" w:cs="Arial"/>
              </w:rPr>
              <w:t xml:space="preserve">, </w:t>
            </w:r>
            <w:r w:rsidRPr="0003219D">
              <w:rPr>
                <w:rFonts w:ascii="Arial" w:hAnsi="Arial" w:cs="Arial"/>
              </w:rPr>
              <w:t xml:space="preserve"> requiring credit/rebill cycles and delaying payment.</w:t>
            </w:r>
          </w:p>
        </w:tc>
        <w:tc>
          <w:tcPr>
            <w:tcW w:w="2594" w:type="dxa"/>
          </w:tcPr>
          <w:p w14:paraId="0250244F" w14:textId="77777777" w:rsidR="00EC73D7" w:rsidRPr="0003219D" w:rsidRDefault="00EC73D7">
            <w:pPr>
              <w:pStyle w:val="Compact"/>
              <w:rPr>
                <w:rFonts w:ascii="Arial" w:hAnsi="Arial" w:cs="Arial"/>
              </w:rPr>
            </w:pPr>
          </w:p>
        </w:tc>
      </w:tr>
      <w:tr w:rsidR="004D18C8" w:rsidRPr="0003219D" w14:paraId="568E3F0F" w14:textId="77777777" w:rsidTr="00B9708E">
        <w:tc>
          <w:tcPr>
            <w:tcW w:w="753" w:type="dxa"/>
          </w:tcPr>
          <w:p w14:paraId="42499D3E" w14:textId="36ECE860" w:rsidR="004D18C8" w:rsidRPr="0003219D" w:rsidRDefault="004D18C8">
            <w:pPr>
              <w:pStyle w:val="Compact"/>
              <w:rPr>
                <w:rFonts w:ascii="Arial" w:hAnsi="Arial" w:cs="Arial"/>
              </w:rPr>
            </w:pPr>
            <w:r w:rsidRPr="0003219D">
              <w:rPr>
                <w:rFonts w:ascii="Arial" w:hAnsi="Arial" w:cs="Arial"/>
              </w:rPr>
              <w:t>4.9</w:t>
            </w:r>
          </w:p>
        </w:tc>
        <w:tc>
          <w:tcPr>
            <w:tcW w:w="2431" w:type="dxa"/>
          </w:tcPr>
          <w:p w14:paraId="1D2218E9" w14:textId="5696E4D0" w:rsidR="004D18C8" w:rsidRPr="0003219D" w:rsidRDefault="004D18C8">
            <w:pPr>
              <w:pStyle w:val="Compact"/>
              <w:rPr>
                <w:rFonts w:ascii="Arial" w:hAnsi="Arial" w:cs="Arial"/>
              </w:rPr>
            </w:pPr>
            <w:r w:rsidRPr="0003219D">
              <w:rPr>
                <w:rFonts w:ascii="Arial" w:hAnsi="Arial" w:cs="Arial"/>
              </w:rPr>
              <w:t>Manage</w:t>
            </w:r>
            <w:r w:rsidR="00DE1097" w:rsidRPr="0003219D">
              <w:rPr>
                <w:rFonts w:ascii="Arial" w:hAnsi="Arial" w:cs="Arial"/>
              </w:rPr>
              <w:t>s</w:t>
            </w:r>
            <w:r w:rsidRPr="0003219D">
              <w:rPr>
                <w:rFonts w:ascii="Arial" w:hAnsi="Arial" w:cs="Arial"/>
              </w:rPr>
              <w:t xml:space="preserve"> cash application, dunning and collections using ERP-native tools with visibility to billing and usage</w:t>
            </w:r>
          </w:p>
        </w:tc>
        <w:tc>
          <w:tcPr>
            <w:tcW w:w="3600" w:type="dxa"/>
          </w:tcPr>
          <w:p w14:paraId="40225DC3" w14:textId="169626C8" w:rsidR="004D18C8" w:rsidRPr="0003219D" w:rsidRDefault="00975D43">
            <w:pPr>
              <w:pStyle w:val="Compact"/>
              <w:rPr>
                <w:rFonts w:ascii="Arial" w:hAnsi="Arial" w:cs="Arial"/>
              </w:rPr>
            </w:pPr>
            <w:r w:rsidRPr="0003219D">
              <w:rPr>
                <w:rFonts w:ascii="Arial" w:hAnsi="Arial" w:cs="Arial"/>
              </w:rPr>
              <w:t>If collections aren’t managed on ERP-native records, teams must toggle between systems to reference invoice, payment and usage data</w:t>
            </w:r>
            <w:r w:rsidR="005411DD">
              <w:rPr>
                <w:rFonts w:ascii="Arial" w:hAnsi="Arial" w:cs="Arial"/>
              </w:rPr>
              <w:t xml:space="preserve">, </w:t>
            </w:r>
            <w:r w:rsidRPr="0003219D">
              <w:rPr>
                <w:rFonts w:ascii="Arial" w:hAnsi="Arial" w:cs="Arial"/>
              </w:rPr>
              <w:t>delaying follow-ups and increasing DSO.</w:t>
            </w:r>
          </w:p>
        </w:tc>
        <w:tc>
          <w:tcPr>
            <w:tcW w:w="2594" w:type="dxa"/>
          </w:tcPr>
          <w:p w14:paraId="0173E7BF" w14:textId="77777777" w:rsidR="004D18C8" w:rsidRPr="0003219D" w:rsidRDefault="004D18C8">
            <w:pPr>
              <w:pStyle w:val="Compact"/>
              <w:rPr>
                <w:rFonts w:ascii="Arial" w:hAnsi="Arial" w:cs="Arial"/>
              </w:rPr>
            </w:pPr>
          </w:p>
        </w:tc>
      </w:tr>
      <w:tr w:rsidR="004D18C8" w:rsidRPr="0003219D" w14:paraId="26B30687" w14:textId="77777777" w:rsidTr="00B9708E">
        <w:tc>
          <w:tcPr>
            <w:tcW w:w="753" w:type="dxa"/>
          </w:tcPr>
          <w:p w14:paraId="7F6BB01A" w14:textId="3E9E70A2" w:rsidR="004D18C8" w:rsidRPr="0003219D" w:rsidRDefault="004D18C8">
            <w:pPr>
              <w:pStyle w:val="Compact"/>
              <w:rPr>
                <w:rFonts w:ascii="Arial" w:hAnsi="Arial" w:cs="Arial"/>
              </w:rPr>
            </w:pPr>
            <w:r w:rsidRPr="0003219D">
              <w:rPr>
                <w:rFonts w:ascii="Arial" w:hAnsi="Arial" w:cs="Arial"/>
              </w:rPr>
              <w:t>4.10</w:t>
            </w:r>
          </w:p>
        </w:tc>
        <w:tc>
          <w:tcPr>
            <w:tcW w:w="2431" w:type="dxa"/>
          </w:tcPr>
          <w:p w14:paraId="614FBFC4" w14:textId="75D4F45F" w:rsidR="004D18C8" w:rsidRPr="0003219D" w:rsidRDefault="004D18C8">
            <w:pPr>
              <w:pStyle w:val="Compact"/>
              <w:rPr>
                <w:rFonts w:ascii="Arial" w:hAnsi="Arial" w:cs="Arial"/>
              </w:rPr>
            </w:pPr>
            <w:r w:rsidRPr="0003219D">
              <w:rPr>
                <w:rFonts w:ascii="Arial" w:hAnsi="Arial" w:cs="Arial"/>
              </w:rPr>
              <w:t>Provide</w:t>
            </w:r>
            <w:r w:rsidR="00DE1097" w:rsidRPr="0003219D">
              <w:rPr>
                <w:rFonts w:ascii="Arial" w:hAnsi="Arial" w:cs="Arial"/>
              </w:rPr>
              <w:t>s</w:t>
            </w:r>
            <w:r w:rsidRPr="0003219D">
              <w:rPr>
                <w:rFonts w:ascii="Arial" w:hAnsi="Arial" w:cs="Arial"/>
              </w:rPr>
              <w:t xml:space="preserve"> real-time visibility into invoice status, payments and customer balances within the ERP</w:t>
            </w:r>
          </w:p>
        </w:tc>
        <w:tc>
          <w:tcPr>
            <w:tcW w:w="3600" w:type="dxa"/>
          </w:tcPr>
          <w:p w14:paraId="4B7CB8D0" w14:textId="76CA1C1C" w:rsidR="004D18C8" w:rsidRPr="0003219D" w:rsidRDefault="00975D43">
            <w:pPr>
              <w:pStyle w:val="Compact"/>
              <w:rPr>
                <w:rFonts w:ascii="Arial" w:hAnsi="Arial" w:cs="Arial"/>
              </w:rPr>
            </w:pPr>
            <w:r w:rsidRPr="0003219D">
              <w:rPr>
                <w:rFonts w:ascii="Arial" w:hAnsi="Arial" w:cs="Arial"/>
              </w:rPr>
              <w:t xml:space="preserve">If invoice and payment status </w:t>
            </w:r>
            <w:r w:rsidR="005411DD">
              <w:rPr>
                <w:rFonts w:ascii="Arial" w:hAnsi="Arial" w:cs="Arial"/>
              </w:rPr>
              <w:t>aren’t</w:t>
            </w:r>
            <w:r w:rsidRPr="0003219D">
              <w:rPr>
                <w:rFonts w:ascii="Arial" w:hAnsi="Arial" w:cs="Arial"/>
              </w:rPr>
              <w:t xml:space="preserve"> visible in real time within the ERP, finance must reconcile data manually across systems</w:t>
            </w:r>
            <w:r w:rsidR="005411DD">
              <w:rPr>
                <w:rFonts w:ascii="Arial" w:hAnsi="Arial" w:cs="Arial"/>
              </w:rPr>
              <w:t xml:space="preserve">, </w:t>
            </w:r>
            <w:r w:rsidRPr="0003219D">
              <w:rPr>
                <w:rFonts w:ascii="Arial" w:hAnsi="Arial" w:cs="Arial"/>
              </w:rPr>
              <w:t>slowing close cycles and increasing reporting risk.</w:t>
            </w:r>
          </w:p>
        </w:tc>
        <w:tc>
          <w:tcPr>
            <w:tcW w:w="2594" w:type="dxa"/>
          </w:tcPr>
          <w:p w14:paraId="0ACAF203" w14:textId="77777777" w:rsidR="004D18C8" w:rsidRPr="0003219D" w:rsidRDefault="004D18C8">
            <w:pPr>
              <w:pStyle w:val="Compact"/>
              <w:rPr>
                <w:rFonts w:ascii="Arial" w:hAnsi="Arial" w:cs="Arial"/>
              </w:rPr>
            </w:pPr>
          </w:p>
        </w:tc>
      </w:tr>
      <w:tr w:rsidR="0003219D" w:rsidRPr="0003219D" w14:paraId="7FE25CA8" w14:textId="77777777" w:rsidTr="00B9708E">
        <w:tc>
          <w:tcPr>
            <w:tcW w:w="753" w:type="dxa"/>
          </w:tcPr>
          <w:p w14:paraId="28DD9999" w14:textId="00E0D161" w:rsidR="0003219D" w:rsidRPr="0003219D" w:rsidRDefault="0003219D">
            <w:pPr>
              <w:pStyle w:val="Compact"/>
              <w:rPr>
                <w:rFonts w:ascii="Arial" w:hAnsi="Arial" w:cs="Arial"/>
              </w:rPr>
            </w:pPr>
            <w:r w:rsidRPr="0003219D">
              <w:rPr>
                <w:rFonts w:ascii="Arial" w:hAnsi="Arial" w:cs="Arial"/>
              </w:rPr>
              <w:t>4.11</w:t>
            </w:r>
          </w:p>
        </w:tc>
        <w:tc>
          <w:tcPr>
            <w:tcW w:w="2431" w:type="dxa"/>
          </w:tcPr>
          <w:p w14:paraId="585A3FF2" w14:textId="6EA22103" w:rsidR="0003219D" w:rsidRPr="0003219D" w:rsidRDefault="0003219D">
            <w:pPr>
              <w:pStyle w:val="Compact"/>
              <w:rPr>
                <w:rFonts w:ascii="Arial" w:hAnsi="Arial" w:cs="Arial"/>
              </w:rPr>
            </w:pPr>
            <w:r w:rsidRPr="0003219D">
              <w:rPr>
                <w:rFonts w:ascii="Arial" w:hAnsi="Arial" w:cs="Arial"/>
              </w:rPr>
              <w:t xml:space="preserve">Supports distinct Bill To and Ship To addresses at both </w:t>
            </w:r>
            <w:r>
              <w:rPr>
                <w:rFonts w:ascii="Arial" w:hAnsi="Arial" w:cs="Arial"/>
              </w:rPr>
              <w:t xml:space="preserve">the </w:t>
            </w:r>
            <w:r w:rsidRPr="0003219D">
              <w:rPr>
                <w:rFonts w:ascii="Arial" w:hAnsi="Arial" w:cs="Arial"/>
              </w:rPr>
              <w:t>contract and line-item level</w:t>
            </w:r>
          </w:p>
        </w:tc>
        <w:tc>
          <w:tcPr>
            <w:tcW w:w="3600" w:type="dxa"/>
          </w:tcPr>
          <w:p w14:paraId="19541E0D" w14:textId="1FFD882C" w:rsidR="0003219D" w:rsidRPr="0003219D" w:rsidRDefault="0003219D">
            <w:pPr>
              <w:pStyle w:val="Compact"/>
              <w:rPr>
                <w:rFonts w:ascii="Arial" w:hAnsi="Arial" w:cs="Arial"/>
              </w:rPr>
            </w:pPr>
            <w:r w:rsidRPr="0003219D">
              <w:rPr>
                <w:rFonts w:ascii="Arial" w:hAnsi="Arial" w:cs="Arial"/>
              </w:rPr>
              <w:t>If billing and fulfillment addresses cannot be managed separately, teams must create duplicate contracts or override records manually</w:t>
            </w:r>
            <w:r w:rsidR="005411DD">
              <w:rPr>
                <w:rFonts w:ascii="Arial" w:hAnsi="Arial" w:cs="Arial"/>
              </w:rPr>
              <w:t>,</w:t>
            </w:r>
            <w:r w:rsidRPr="0003219D">
              <w:rPr>
                <w:rFonts w:ascii="Arial" w:hAnsi="Arial" w:cs="Arial"/>
              </w:rPr>
              <w:t xml:space="preserve"> increasing </w:t>
            </w:r>
            <w:r w:rsidRPr="0003219D">
              <w:rPr>
                <w:rFonts w:ascii="Arial" w:hAnsi="Arial" w:cs="Arial"/>
              </w:rPr>
              <w:lastRenderedPageBreak/>
              <w:t>operational effort and risking errors in invoicing and delivery.</w:t>
            </w:r>
          </w:p>
        </w:tc>
        <w:tc>
          <w:tcPr>
            <w:tcW w:w="2594" w:type="dxa"/>
          </w:tcPr>
          <w:p w14:paraId="4B11AB38" w14:textId="77777777" w:rsidR="0003219D" w:rsidRPr="0003219D" w:rsidRDefault="0003219D">
            <w:pPr>
              <w:pStyle w:val="Compact"/>
              <w:rPr>
                <w:rFonts w:ascii="Arial" w:hAnsi="Arial" w:cs="Arial"/>
              </w:rPr>
            </w:pPr>
          </w:p>
        </w:tc>
      </w:tr>
    </w:tbl>
    <w:p w14:paraId="6D08AC65" w14:textId="1B81D5FD" w:rsidR="00EC73D7" w:rsidRPr="0003219D" w:rsidRDefault="00EC73D7">
      <w:pPr>
        <w:rPr>
          <w:rFonts w:ascii="Arial" w:hAnsi="Arial" w:cs="Arial"/>
        </w:rPr>
      </w:pPr>
    </w:p>
    <w:p w14:paraId="00CA7F21" w14:textId="77777777" w:rsidR="00EC73D7" w:rsidRPr="0003219D" w:rsidRDefault="00000000">
      <w:pPr>
        <w:pStyle w:val="Heading1"/>
        <w:rPr>
          <w:rFonts w:ascii="Arial" w:hAnsi="Arial" w:cs="Arial"/>
        </w:rPr>
      </w:pPr>
      <w:bookmarkStart w:id="11" w:name="section-5-revenue-recognition"/>
      <w:bookmarkEnd w:id="10"/>
      <w:r w:rsidRPr="0003219D">
        <w:rPr>
          <w:rFonts w:ascii="Arial" w:hAnsi="Arial" w:cs="Arial"/>
        </w:rPr>
        <w:t>Section 5: Revenue recognition</w:t>
      </w:r>
    </w:p>
    <w:p w14:paraId="50E5DD87" w14:textId="051CD217" w:rsidR="00EC73D7" w:rsidRPr="0003219D" w:rsidRDefault="000347CA" w:rsidP="004D18C8">
      <w:pPr>
        <w:pStyle w:val="FirstParagraph"/>
        <w:rPr>
          <w:rFonts w:ascii="Arial" w:hAnsi="Arial" w:cs="Arial"/>
        </w:rPr>
      </w:pPr>
      <w:r w:rsidRPr="0003219D">
        <w:rPr>
          <w:rFonts w:ascii="Arial" w:hAnsi="Arial" w:cs="Arial"/>
        </w:rPr>
        <w:t>Revenue must be recognized based on consumption, not invoice timing – especially in usage-based models. Billing systems must handle these distinctions automatically to avoid compliance issues, misstated revenue and manual accounting adjustments.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36"/>
        <w:gridCol w:w="2373"/>
        <w:gridCol w:w="3512"/>
        <w:gridCol w:w="2536"/>
      </w:tblGrid>
      <w:tr w:rsidR="00B9708E" w:rsidRPr="0003219D" w14:paraId="6181F3EB" w14:textId="77777777" w:rsidTr="00B9708E">
        <w:trPr>
          <w:cnfStyle w:val="100000000000" w:firstRow="1" w:lastRow="0" w:firstColumn="0" w:lastColumn="0" w:oddVBand="0" w:evenVBand="0" w:oddHBand="0" w:evenHBand="0" w:firstRowFirstColumn="0" w:firstRowLastColumn="0" w:lastRowFirstColumn="0" w:lastRowLastColumn="0"/>
          <w:tblHeader/>
        </w:trPr>
        <w:tc>
          <w:tcPr>
            <w:tcW w:w="749" w:type="dxa"/>
          </w:tcPr>
          <w:p w14:paraId="1D707291" w14:textId="77777777" w:rsidR="00EC73D7" w:rsidRPr="0003219D" w:rsidRDefault="00000000">
            <w:pPr>
              <w:pStyle w:val="Compact"/>
              <w:rPr>
                <w:rFonts w:ascii="Arial" w:hAnsi="Arial" w:cs="Arial"/>
              </w:rPr>
            </w:pPr>
            <w:r w:rsidRPr="0003219D">
              <w:rPr>
                <w:rFonts w:ascii="Arial" w:hAnsi="Arial" w:cs="Arial"/>
              </w:rPr>
              <w:t>Ref</w:t>
            </w:r>
          </w:p>
        </w:tc>
        <w:tc>
          <w:tcPr>
            <w:tcW w:w="2431" w:type="dxa"/>
          </w:tcPr>
          <w:p w14:paraId="7DE7D513" w14:textId="77777777" w:rsidR="00EC73D7" w:rsidRPr="0003219D" w:rsidRDefault="00000000">
            <w:pPr>
              <w:pStyle w:val="Compact"/>
              <w:rPr>
                <w:rFonts w:ascii="Arial" w:hAnsi="Arial" w:cs="Arial"/>
              </w:rPr>
            </w:pPr>
            <w:r w:rsidRPr="0003219D">
              <w:rPr>
                <w:rFonts w:ascii="Arial" w:hAnsi="Arial" w:cs="Arial"/>
              </w:rPr>
              <w:t>Requirement</w:t>
            </w:r>
          </w:p>
        </w:tc>
        <w:tc>
          <w:tcPr>
            <w:tcW w:w="3600" w:type="dxa"/>
          </w:tcPr>
          <w:p w14:paraId="41E64724" w14:textId="77777777" w:rsidR="00EC73D7" w:rsidRPr="0003219D" w:rsidRDefault="00000000">
            <w:pPr>
              <w:pStyle w:val="Compact"/>
              <w:rPr>
                <w:rFonts w:ascii="Arial" w:hAnsi="Arial" w:cs="Arial"/>
              </w:rPr>
            </w:pPr>
            <w:r w:rsidRPr="0003219D">
              <w:rPr>
                <w:rFonts w:ascii="Arial" w:hAnsi="Arial" w:cs="Arial"/>
              </w:rPr>
              <w:t>Considerations</w:t>
            </w:r>
          </w:p>
        </w:tc>
        <w:tc>
          <w:tcPr>
            <w:tcW w:w="2598" w:type="dxa"/>
          </w:tcPr>
          <w:p w14:paraId="3A44190E"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2ACECDB6" w14:textId="77777777" w:rsidTr="00B9708E">
        <w:tc>
          <w:tcPr>
            <w:tcW w:w="749" w:type="dxa"/>
          </w:tcPr>
          <w:p w14:paraId="5A58D94A" w14:textId="3649F867" w:rsidR="004A7F74" w:rsidRPr="0003219D" w:rsidRDefault="004A7F74" w:rsidP="004A7F74">
            <w:pPr>
              <w:pStyle w:val="Compact"/>
              <w:rPr>
                <w:rFonts w:ascii="Arial" w:hAnsi="Arial" w:cs="Arial"/>
              </w:rPr>
            </w:pPr>
            <w:r w:rsidRPr="002A0ABD">
              <w:rPr>
                <w:rFonts w:ascii="Arial" w:hAnsi="Arial" w:cs="Arial"/>
              </w:rPr>
              <w:t>5.1</w:t>
            </w:r>
          </w:p>
        </w:tc>
        <w:tc>
          <w:tcPr>
            <w:tcW w:w="2431" w:type="dxa"/>
          </w:tcPr>
          <w:p w14:paraId="1D94D682" w14:textId="4ECB4C80" w:rsidR="004A7F74" w:rsidRPr="0003219D" w:rsidRDefault="004A7F74" w:rsidP="004A7F74">
            <w:pPr>
              <w:pStyle w:val="Compact"/>
              <w:rPr>
                <w:rFonts w:ascii="Arial" w:hAnsi="Arial" w:cs="Arial"/>
              </w:rPr>
            </w:pPr>
            <w:r w:rsidRPr="002A0ABD">
              <w:rPr>
                <w:rFonts w:ascii="Arial" w:hAnsi="Arial" w:cs="Arial"/>
              </w:rPr>
              <w:t>Support ASC 606 or IFRS 15 revenue recognition out of the box</w:t>
            </w:r>
          </w:p>
        </w:tc>
        <w:tc>
          <w:tcPr>
            <w:tcW w:w="3600" w:type="dxa"/>
          </w:tcPr>
          <w:p w14:paraId="71F5FEE8" w14:textId="609ACF10" w:rsidR="004A7F74" w:rsidRPr="0003219D" w:rsidRDefault="004A7F74" w:rsidP="004A7F74">
            <w:pPr>
              <w:pStyle w:val="Compact"/>
              <w:rPr>
                <w:rFonts w:ascii="Arial" w:hAnsi="Arial" w:cs="Arial"/>
              </w:rPr>
            </w:pPr>
            <w:r w:rsidRPr="002A0ABD">
              <w:rPr>
                <w:rFonts w:ascii="Arial" w:hAnsi="Arial" w:cs="Arial"/>
              </w:rPr>
              <w:t xml:space="preserve">Without built-in compliance support, finance teams must build custom </w:t>
            </w:r>
            <w:r w:rsidR="004D18C8" w:rsidRPr="0003219D">
              <w:rPr>
                <w:rFonts w:ascii="Arial" w:hAnsi="Arial" w:cs="Arial"/>
              </w:rPr>
              <w:t>revenue recognition</w:t>
            </w:r>
            <w:r w:rsidRPr="002A0ABD">
              <w:rPr>
                <w:rFonts w:ascii="Arial" w:hAnsi="Arial" w:cs="Arial"/>
              </w:rPr>
              <w:t xml:space="preserve"> rules</w:t>
            </w:r>
            <w:r w:rsidR="005411DD">
              <w:rPr>
                <w:rFonts w:ascii="Arial" w:hAnsi="Arial" w:cs="Arial"/>
              </w:rPr>
              <w:t>,</w:t>
            </w:r>
            <w:r w:rsidRPr="002A0ABD">
              <w:rPr>
                <w:rFonts w:ascii="Arial" w:hAnsi="Arial" w:cs="Arial"/>
              </w:rPr>
              <w:t xml:space="preserve"> increasing audit risk and creating long-term dependency on technical resources</w:t>
            </w:r>
          </w:p>
        </w:tc>
        <w:tc>
          <w:tcPr>
            <w:tcW w:w="2598" w:type="dxa"/>
          </w:tcPr>
          <w:p w14:paraId="054107A4" w14:textId="77777777" w:rsidR="004A7F74" w:rsidRPr="0003219D" w:rsidRDefault="004A7F74" w:rsidP="004A7F74">
            <w:pPr>
              <w:pStyle w:val="Compact"/>
              <w:rPr>
                <w:rFonts w:ascii="Arial" w:hAnsi="Arial" w:cs="Arial"/>
              </w:rPr>
            </w:pPr>
          </w:p>
        </w:tc>
      </w:tr>
      <w:tr w:rsidR="00B9708E" w:rsidRPr="0003219D" w14:paraId="70608496" w14:textId="77777777" w:rsidTr="00B9708E">
        <w:tc>
          <w:tcPr>
            <w:tcW w:w="749" w:type="dxa"/>
          </w:tcPr>
          <w:p w14:paraId="54FC593C" w14:textId="625F0FFB" w:rsidR="004A7F74" w:rsidRPr="0003219D" w:rsidRDefault="004A7F74" w:rsidP="004A7F74">
            <w:pPr>
              <w:pStyle w:val="Compact"/>
              <w:rPr>
                <w:rFonts w:ascii="Arial" w:hAnsi="Arial" w:cs="Arial"/>
              </w:rPr>
            </w:pPr>
            <w:r w:rsidRPr="002A0ABD">
              <w:rPr>
                <w:rFonts w:ascii="Arial" w:hAnsi="Arial" w:cs="Arial"/>
              </w:rPr>
              <w:t>5.2</w:t>
            </w:r>
          </w:p>
        </w:tc>
        <w:tc>
          <w:tcPr>
            <w:tcW w:w="2431" w:type="dxa"/>
          </w:tcPr>
          <w:p w14:paraId="6FF82763" w14:textId="73F4E9B8" w:rsidR="004A7F74" w:rsidRPr="0003219D" w:rsidRDefault="004A7F74" w:rsidP="004A7F74">
            <w:pPr>
              <w:pStyle w:val="Compact"/>
              <w:rPr>
                <w:rFonts w:ascii="Arial" w:hAnsi="Arial" w:cs="Arial"/>
              </w:rPr>
            </w:pPr>
            <w:r w:rsidRPr="002A0ABD">
              <w:rPr>
                <w:rFonts w:ascii="Arial" w:hAnsi="Arial" w:cs="Arial"/>
              </w:rPr>
              <w:t>Create many-to-one or one-to-many mappings between billing elements and revenue elements</w:t>
            </w:r>
          </w:p>
        </w:tc>
        <w:tc>
          <w:tcPr>
            <w:tcW w:w="3600" w:type="dxa"/>
          </w:tcPr>
          <w:p w14:paraId="1E0C03F1" w14:textId="0AAC69BE" w:rsidR="004A7F74" w:rsidRPr="0003219D" w:rsidRDefault="004A7F74" w:rsidP="004A7F74">
            <w:pPr>
              <w:pStyle w:val="Compact"/>
              <w:rPr>
                <w:rFonts w:ascii="Arial" w:hAnsi="Arial" w:cs="Arial"/>
              </w:rPr>
            </w:pPr>
            <w:r w:rsidRPr="002A0ABD">
              <w:rPr>
                <w:rFonts w:ascii="Arial" w:hAnsi="Arial" w:cs="Arial"/>
              </w:rPr>
              <w:t>When systems enforce a 1:1 relationship between charge lines and rev</w:t>
            </w:r>
            <w:r w:rsidR="004D18C8" w:rsidRPr="0003219D">
              <w:rPr>
                <w:rFonts w:ascii="Arial" w:hAnsi="Arial" w:cs="Arial"/>
              </w:rPr>
              <w:t>enue</w:t>
            </w:r>
            <w:r w:rsidRPr="002A0ABD">
              <w:rPr>
                <w:rFonts w:ascii="Arial" w:hAnsi="Arial" w:cs="Arial"/>
              </w:rPr>
              <w:t xml:space="preserve"> schedules, revenue cannot be allocated accurately</w:t>
            </w:r>
            <w:r w:rsidR="005411DD">
              <w:rPr>
                <w:rFonts w:ascii="Arial" w:hAnsi="Arial" w:cs="Arial"/>
              </w:rPr>
              <w:t>,</w:t>
            </w:r>
            <w:r w:rsidRPr="002A0ABD">
              <w:rPr>
                <w:rFonts w:ascii="Arial" w:hAnsi="Arial" w:cs="Arial"/>
              </w:rPr>
              <w:t xml:space="preserve"> especially for bundled contracts or ratable services</w:t>
            </w:r>
          </w:p>
        </w:tc>
        <w:tc>
          <w:tcPr>
            <w:tcW w:w="2598" w:type="dxa"/>
          </w:tcPr>
          <w:p w14:paraId="4DFFFB82" w14:textId="77777777" w:rsidR="004A7F74" w:rsidRPr="0003219D" w:rsidRDefault="004A7F74" w:rsidP="004A7F74">
            <w:pPr>
              <w:pStyle w:val="Compact"/>
              <w:rPr>
                <w:rFonts w:ascii="Arial" w:hAnsi="Arial" w:cs="Arial"/>
              </w:rPr>
            </w:pPr>
          </w:p>
        </w:tc>
      </w:tr>
      <w:tr w:rsidR="00B9708E" w:rsidRPr="0003219D" w14:paraId="2D8D6E7E" w14:textId="77777777" w:rsidTr="00B9708E">
        <w:tc>
          <w:tcPr>
            <w:tcW w:w="749" w:type="dxa"/>
          </w:tcPr>
          <w:p w14:paraId="312AA45D" w14:textId="3147122C" w:rsidR="004A7F74" w:rsidRPr="0003219D" w:rsidRDefault="004A7F74" w:rsidP="004A7F74">
            <w:pPr>
              <w:pStyle w:val="Compact"/>
              <w:rPr>
                <w:rFonts w:ascii="Arial" w:hAnsi="Arial" w:cs="Arial"/>
              </w:rPr>
            </w:pPr>
            <w:r w:rsidRPr="002A0ABD">
              <w:rPr>
                <w:rFonts w:ascii="Arial" w:hAnsi="Arial" w:cs="Arial"/>
              </w:rPr>
              <w:t>5.3</w:t>
            </w:r>
          </w:p>
        </w:tc>
        <w:tc>
          <w:tcPr>
            <w:tcW w:w="2431" w:type="dxa"/>
          </w:tcPr>
          <w:p w14:paraId="4BF05741" w14:textId="0E90FCA7" w:rsidR="004A7F74" w:rsidRPr="0003219D" w:rsidRDefault="004A7F74" w:rsidP="004A7F74">
            <w:pPr>
              <w:pStyle w:val="Compact"/>
              <w:rPr>
                <w:rFonts w:ascii="Arial" w:hAnsi="Arial" w:cs="Arial"/>
              </w:rPr>
            </w:pPr>
            <w:r w:rsidRPr="002A0ABD">
              <w:rPr>
                <w:rFonts w:ascii="Arial" w:hAnsi="Arial" w:cs="Arial"/>
              </w:rPr>
              <w:t>Recognize revenue based on usage, delivery or event-based triggers</w:t>
            </w:r>
          </w:p>
        </w:tc>
        <w:tc>
          <w:tcPr>
            <w:tcW w:w="3600" w:type="dxa"/>
          </w:tcPr>
          <w:p w14:paraId="5E503FCA" w14:textId="09903484" w:rsidR="004A7F74" w:rsidRPr="0003219D" w:rsidRDefault="004A7F74" w:rsidP="004A7F74">
            <w:pPr>
              <w:pStyle w:val="Compact"/>
              <w:rPr>
                <w:rFonts w:ascii="Arial" w:hAnsi="Arial" w:cs="Arial"/>
              </w:rPr>
            </w:pPr>
            <w:r w:rsidRPr="002A0ABD">
              <w:rPr>
                <w:rFonts w:ascii="Arial" w:hAnsi="Arial" w:cs="Arial"/>
              </w:rPr>
              <w:t xml:space="preserve">Rigid </w:t>
            </w:r>
            <w:r w:rsidR="004D18C8" w:rsidRPr="0003219D">
              <w:rPr>
                <w:rFonts w:ascii="Arial" w:hAnsi="Arial" w:cs="Arial"/>
              </w:rPr>
              <w:t xml:space="preserve">revenue recognition </w:t>
            </w:r>
            <w:r w:rsidRPr="002A0ABD">
              <w:rPr>
                <w:rFonts w:ascii="Arial" w:hAnsi="Arial" w:cs="Arial"/>
              </w:rPr>
              <w:t>rules tied only to fixed schedules prevent accurate recognition for milestone billing, variable usage or deferred revenue events</w:t>
            </w:r>
          </w:p>
        </w:tc>
        <w:tc>
          <w:tcPr>
            <w:tcW w:w="2598" w:type="dxa"/>
          </w:tcPr>
          <w:p w14:paraId="47AC06CB" w14:textId="77777777" w:rsidR="004A7F74" w:rsidRPr="0003219D" w:rsidRDefault="004A7F74" w:rsidP="004A7F74">
            <w:pPr>
              <w:pStyle w:val="Compact"/>
              <w:rPr>
                <w:rFonts w:ascii="Arial" w:hAnsi="Arial" w:cs="Arial"/>
              </w:rPr>
            </w:pPr>
          </w:p>
        </w:tc>
      </w:tr>
      <w:tr w:rsidR="00B9708E" w:rsidRPr="0003219D" w14:paraId="476E94B4" w14:textId="77777777" w:rsidTr="00B9708E">
        <w:tc>
          <w:tcPr>
            <w:tcW w:w="749" w:type="dxa"/>
          </w:tcPr>
          <w:p w14:paraId="62EDC6E7" w14:textId="0E089958" w:rsidR="004A7F74" w:rsidRPr="0003219D" w:rsidRDefault="004A7F74" w:rsidP="004A7F74">
            <w:pPr>
              <w:pStyle w:val="Compact"/>
              <w:rPr>
                <w:rFonts w:ascii="Arial" w:hAnsi="Arial" w:cs="Arial"/>
              </w:rPr>
            </w:pPr>
            <w:r w:rsidRPr="002A0ABD">
              <w:rPr>
                <w:rFonts w:ascii="Arial" w:eastAsia="Times New Roman" w:hAnsi="Arial" w:cs="Arial"/>
              </w:rPr>
              <w:t>5.4</w:t>
            </w:r>
          </w:p>
        </w:tc>
        <w:tc>
          <w:tcPr>
            <w:tcW w:w="2431" w:type="dxa"/>
          </w:tcPr>
          <w:p w14:paraId="56F481EE" w14:textId="7AEF70F3" w:rsidR="004A7F74" w:rsidRPr="0003219D" w:rsidRDefault="004A7F74" w:rsidP="004A7F74">
            <w:pPr>
              <w:pStyle w:val="Compact"/>
              <w:rPr>
                <w:rFonts w:ascii="Arial" w:hAnsi="Arial" w:cs="Arial"/>
              </w:rPr>
            </w:pPr>
            <w:r w:rsidRPr="002A0ABD">
              <w:rPr>
                <w:rFonts w:ascii="Arial" w:hAnsi="Arial" w:cs="Arial"/>
              </w:rPr>
              <w:t>Realign revenue schedules automatically when contract terms change (e.g. quantity, pricing, duration)</w:t>
            </w:r>
          </w:p>
        </w:tc>
        <w:tc>
          <w:tcPr>
            <w:tcW w:w="3600" w:type="dxa"/>
          </w:tcPr>
          <w:p w14:paraId="7D296485" w14:textId="6B7E2757" w:rsidR="004A7F74" w:rsidRPr="0003219D" w:rsidRDefault="004A7F74" w:rsidP="004A7F74">
            <w:pPr>
              <w:pStyle w:val="Compact"/>
              <w:rPr>
                <w:rFonts w:ascii="Arial" w:hAnsi="Arial" w:cs="Arial"/>
              </w:rPr>
            </w:pPr>
            <w:r w:rsidRPr="002A0ABD">
              <w:rPr>
                <w:rFonts w:ascii="Arial" w:hAnsi="Arial" w:cs="Arial"/>
              </w:rPr>
              <w:t>Without this capability, teams must manually adjust revenue schedules every time a contract is amended</w:t>
            </w:r>
            <w:r w:rsidR="005411DD">
              <w:rPr>
                <w:rFonts w:ascii="Arial" w:hAnsi="Arial" w:cs="Arial"/>
              </w:rPr>
              <w:t xml:space="preserve">, </w:t>
            </w:r>
            <w:r w:rsidRPr="002A0ABD">
              <w:rPr>
                <w:rFonts w:ascii="Arial" w:hAnsi="Arial" w:cs="Arial"/>
              </w:rPr>
              <w:t>introducing reconciliation burden and audit complexity</w:t>
            </w:r>
          </w:p>
        </w:tc>
        <w:tc>
          <w:tcPr>
            <w:tcW w:w="2598" w:type="dxa"/>
          </w:tcPr>
          <w:p w14:paraId="38023316" w14:textId="77777777" w:rsidR="004A7F74" w:rsidRPr="0003219D" w:rsidRDefault="004A7F74" w:rsidP="004A7F74">
            <w:pPr>
              <w:pStyle w:val="Compact"/>
              <w:rPr>
                <w:rFonts w:ascii="Arial" w:hAnsi="Arial" w:cs="Arial"/>
              </w:rPr>
            </w:pPr>
          </w:p>
        </w:tc>
      </w:tr>
      <w:tr w:rsidR="00B9708E" w:rsidRPr="0003219D" w14:paraId="16AFE5E4" w14:textId="77777777" w:rsidTr="00B9708E">
        <w:tc>
          <w:tcPr>
            <w:tcW w:w="749" w:type="dxa"/>
          </w:tcPr>
          <w:p w14:paraId="1EA61F51" w14:textId="2B52EB77" w:rsidR="004A7F74" w:rsidRPr="0003219D" w:rsidRDefault="004A7F74" w:rsidP="004A7F74">
            <w:pPr>
              <w:pStyle w:val="Compact"/>
              <w:rPr>
                <w:rFonts w:ascii="Arial" w:hAnsi="Arial" w:cs="Arial"/>
              </w:rPr>
            </w:pPr>
            <w:r w:rsidRPr="002A0ABD">
              <w:rPr>
                <w:rFonts w:ascii="Arial" w:eastAsia="Times New Roman" w:hAnsi="Arial" w:cs="Arial"/>
              </w:rPr>
              <w:t>5.5</w:t>
            </w:r>
          </w:p>
        </w:tc>
        <w:tc>
          <w:tcPr>
            <w:tcW w:w="2431" w:type="dxa"/>
          </w:tcPr>
          <w:p w14:paraId="660C37B9" w14:textId="2720114B" w:rsidR="004A7F74" w:rsidRPr="0003219D" w:rsidRDefault="004A7F74" w:rsidP="004A7F74">
            <w:pPr>
              <w:pStyle w:val="Compact"/>
              <w:rPr>
                <w:rFonts w:ascii="Arial" w:hAnsi="Arial" w:cs="Arial"/>
              </w:rPr>
            </w:pPr>
            <w:r w:rsidRPr="002A0ABD">
              <w:rPr>
                <w:rFonts w:ascii="Arial" w:hAnsi="Arial" w:cs="Arial"/>
              </w:rPr>
              <w:t>Support revenue allocation across merged or amended contracts</w:t>
            </w:r>
          </w:p>
        </w:tc>
        <w:tc>
          <w:tcPr>
            <w:tcW w:w="3600" w:type="dxa"/>
          </w:tcPr>
          <w:p w14:paraId="7DC2911D" w14:textId="4B28B519" w:rsidR="004A7F74" w:rsidRPr="0003219D" w:rsidRDefault="004A7F74" w:rsidP="004A7F74">
            <w:pPr>
              <w:pStyle w:val="Compact"/>
              <w:rPr>
                <w:rFonts w:ascii="Arial" w:hAnsi="Arial" w:cs="Arial"/>
              </w:rPr>
            </w:pPr>
            <w:r w:rsidRPr="002A0ABD">
              <w:rPr>
                <w:rFonts w:ascii="Arial" w:hAnsi="Arial" w:cs="Arial"/>
              </w:rPr>
              <w:t>If amended contracts create new rev</w:t>
            </w:r>
            <w:r w:rsidR="004D18C8" w:rsidRPr="0003219D">
              <w:rPr>
                <w:rFonts w:ascii="Arial" w:hAnsi="Arial" w:cs="Arial"/>
              </w:rPr>
              <w:t>enue</w:t>
            </w:r>
            <w:r w:rsidRPr="002A0ABD">
              <w:rPr>
                <w:rFonts w:ascii="Arial" w:hAnsi="Arial" w:cs="Arial"/>
              </w:rPr>
              <w:t xml:space="preserve"> arrangements without linking to prior terms, teams must manually track </w:t>
            </w:r>
            <w:r w:rsidRPr="002A0ABD">
              <w:rPr>
                <w:rFonts w:ascii="Arial" w:hAnsi="Arial" w:cs="Arial"/>
              </w:rPr>
              <w:lastRenderedPageBreak/>
              <w:t>cumulative revenue performance obligations</w:t>
            </w:r>
          </w:p>
        </w:tc>
        <w:tc>
          <w:tcPr>
            <w:tcW w:w="2598" w:type="dxa"/>
          </w:tcPr>
          <w:p w14:paraId="2C460EBB" w14:textId="77777777" w:rsidR="004A7F74" w:rsidRPr="0003219D" w:rsidRDefault="004A7F74" w:rsidP="004A7F74">
            <w:pPr>
              <w:pStyle w:val="Compact"/>
              <w:rPr>
                <w:rFonts w:ascii="Arial" w:hAnsi="Arial" w:cs="Arial"/>
              </w:rPr>
            </w:pPr>
          </w:p>
        </w:tc>
      </w:tr>
      <w:tr w:rsidR="00B9708E" w:rsidRPr="0003219D" w14:paraId="2D53A2DA" w14:textId="77777777" w:rsidTr="00B9708E">
        <w:tc>
          <w:tcPr>
            <w:tcW w:w="749" w:type="dxa"/>
          </w:tcPr>
          <w:p w14:paraId="2D710A7A" w14:textId="17A4AC4F" w:rsidR="004A7F74" w:rsidRPr="0003219D" w:rsidRDefault="004A7F74" w:rsidP="004A7F74">
            <w:pPr>
              <w:pStyle w:val="Compact"/>
              <w:rPr>
                <w:rFonts w:ascii="Arial" w:hAnsi="Arial" w:cs="Arial"/>
              </w:rPr>
            </w:pPr>
            <w:r w:rsidRPr="002A0ABD">
              <w:rPr>
                <w:rFonts w:ascii="Arial" w:eastAsia="Times New Roman" w:hAnsi="Arial" w:cs="Arial"/>
              </w:rPr>
              <w:t>5.6</w:t>
            </w:r>
          </w:p>
        </w:tc>
        <w:tc>
          <w:tcPr>
            <w:tcW w:w="2431" w:type="dxa"/>
          </w:tcPr>
          <w:p w14:paraId="64ABAA75" w14:textId="23730AAC" w:rsidR="004A7F74" w:rsidRPr="0003219D" w:rsidRDefault="004A7F74" w:rsidP="004A7F74">
            <w:pPr>
              <w:pStyle w:val="Compact"/>
              <w:rPr>
                <w:rFonts w:ascii="Arial" w:hAnsi="Arial" w:cs="Arial"/>
              </w:rPr>
            </w:pPr>
            <w:r w:rsidRPr="002A0ABD">
              <w:rPr>
                <w:rFonts w:ascii="Arial" w:hAnsi="Arial" w:cs="Arial"/>
              </w:rPr>
              <w:t>Tie revenue schedules to subscription or contract records, not just sales orders</w:t>
            </w:r>
          </w:p>
        </w:tc>
        <w:tc>
          <w:tcPr>
            <w:tcW w:w="3600" w:type="dxa"/>
          </w:tcPr>
          <w:p w14:paraId="28B736ED" w14:textId="2F9A26C1" w:rsidR="004A7F74" w:rsidRPr="0003219D" w:rsidRDefault="004A7F74" w:rsidP="004A7F74">
            <w:pPr>
              <w:pStyle w:val="Compact"/>
              <w:rPr>
                <w:rFonts w:ascii="Arial" w:hAnsi="Arial" w:cs="Arial"/>
              </w:rPr>
            </w:pPr>
            <w:r w:rsidRPr="002A0ABD">
              <w:rPr>
                <w:rFonts w:ascii="Arial" w:hAnsi="Arial" w:cs="Arial"/>
              </w:rPr>
              <w:t>Revenue arrangements created at the transaction level lose visibility into contract intent</w:t>
            </w:r>
            <w:r w:rsidR="005411DD">
              <w:rPr>
                <w:rFonts w:ascii="Arial" w:hAnsi="Arial" w:cs="Arial"/>
              </w:rPr>
              <w:t>,</w:t>
            </w:r>
            <w:r w:rsidRPr="002A0ABD">
              <w:rPr>
                <w:rFonts w:ascii="Arial" w:hAnsi="Arial" w:cs="Arial"/>
              </w:rPr>
              <w:t xml:space="preserve"> making it harder to support complex amendments or provide audit traceability</w:t>
            </w:r>
          </w:p>
        </w:tc>
        <w:tc>
          <w:tcPr>
            <w:tcW w:w="2598" w:type="dxa"/>
          </w:tcPr>
          <w:p w14:paraId="17C2F592" w14:textId="77777777" w:rsidR="004A7F74" w:rsidRPr="0003219D" w:rsidRDefault="004A7F74" w:rsidP="004A7F74">
            <w:pPr>
              <w:pStyle w:val="Compact"/>
              <w:rPr>
                <w:rFonts w:ascii="Arial" w:hAnsi="Arial" w:cs="Arial"/>
              </w:rPr>
            </w:pPr>
          </w:p>
        </w:tc>
      </w:tr>
      <w:tr w:rsidR="00B9708E" w:rsidRPr="0003219D" w14:paraId="49FD45C1" w14:textId="77777777" w:rsidTr="00B9708E">
        <w:tc>
          <w:tcPr>
            <w:tcW w:w="749" w:type="dxa"/>
          </w:tcPr>
          <w:p w14:paraId="0FA19332" w14:textId="6BC770A5" w:rsidR="004A7F74" w:rsidRPr="0003219D" w:rsidRDefault="004A7F74" w:rsidP="004A7F74">
            <w:pPr>
              <w:pStyle w:val="Compact"/>
              <w:rPr>
                <w:rFonts w:ascii="Arial" w:hAnsi="Arial" w:cs="Arial"/>
              </w:rPr>
            </w:pPr>
            <w:r w:rsidRPr="002A0ABD">
              <w:rPr>
                <w:rFonts w:ascii="Arial" w:hAnsi="Arial" w:cs="Arial"/>
              </w:rPr>
              <w:t>5.7</w:t>
            </w:r>
          </w:p>
        </w:tc>
        <w:tc>
          <w:tcPr>
            <w:tcW w:w="2431" w:type="dxa"/>
          </w:tcPr>
          <w:p w14:paraId="44988C6D" w14:textId="5D394EA5" w:rsidR="004A7F74" w:rsidRPr="0003219D" w:rsidRDefault="004A7F74" w:rsidP="004A7F74">
            <w:pPr>
              <w:pStyle w:val="Compact"/>
              <w:rPr>
                <w:rFonts w:ascii="Arial" w:hAnsi="Arial" w:cs="Arial"/>
              </w:rPr>
            </w:pPr>
            <w:r w:rsidRPr="002A0ABD">
              <w:rPr>
                <w:rFonts w:ascii="Arial" w:hAnsi="Arial" w:cs="Arial"/>
              </w:rPr>
              <w:t>Preview revenue schedules prior to posting</w:t>
            </w:r>
          </w:p>
        </w:tc>
        <w:tc>
          <w:tcPr>
            <w:tcW w:w="3600" w:type="dxa"/>
          </w:tcPr>
          <w:p w14:paraId="2B501255" w14:textId="7A8AEE93" w:rsidR="004A7F74" w:rsidRPr="0003219D" w:rsidRDefault="004A7F74" w:rsidP="004A7F74">
            <w:pPr>
              <w:pStyle w:val="Compact"/>
              <w:rPr>
                <w:rFonts w:ascii="Arial" w:hAnsi="Arial" w:cs="Arial"/>
              </w:rPr>
            </w:pPr>
            <w:r w:rsidRPr="002A0ABD">
              <w:rPr>
                <w:rFonts w:ascii="Arial" w:hAnsi="Arial" w:cs="Arial"/>
              </w:rPr>
              <w:t>Without visibility into upcoming rev schedules, finance cannot proactively detect errors, anticipate revenue shifts or ensure compliance before month-end close</w:t>
            </w:r>
          </w:p>
        </w:tc>
        <w:tc>
          <w:tcPr>
            <w:tcW w:w="2598" w:type="dxa"/>
          </w:tcPr>
          <w:p w14:paraId="39DC0D76" w14:textId="77777777" w:rsidR="004A7F74" w:rsidRPr="0003219D" w:rsidRDefault="004A7F74" w:rsidP="004A7F74">
            <w:pPr>
              <w:pStyle w:val="Compact"/>
              <w:rPr>
                <w:rFonts w:ascii="Arial" w:hAnsi="Arial" w:cs="Arial"/>
              </w:rPr>
            </w:pPr>
          </w:p>
        </w:tc>
      </w:tr>
      <w:tr w:rsidR="00B9708E" w:rsidRPr="0003219D" w14:paraId="2E006F44" w14:textId="77777777" w:rsidTr="00B9708E">
        <w:tc>
          <w:tcPr>
            <w:tcW w:w="749" w:type="dxa"/>
          </w:tcPr>
          <w:p w14:paraId="5177634C" w14:textId="77777777" w:rsidR="004A7F74" w:rsidRPr="0003219D" w:rsidRDefault="004A7F74" w:rsidP="004A7F74">
            <w:pPr>
              <w:pStyle w:val="Compact"/>
              <w:rPr>
                <w:rFonts w:ascii="Arial" w:hAnsi="Arial" w:cs="Arial"/>
              </w:rPr>
            </w:pPr>
            <w:r w:rsidRPr="0003219D">
              <w:rPr>
                <w:rFonts w:ascii="Arial" w:hAnsi="Arial" w:cs="Arial"/>
              </w:rPr>
              <w:t>5.8</w:t>
            </w:r>
          </w:p>
        </w:tc>
        <w:tc>
          <w:tcPr>
            <w:tcW w:w="2431" w:type="dxa"/>
          </w:tcPr>
          <w:p w14:paraId="6C294E25" w14:textId="77777777" w:rsidR="004A7F74" w:rsidRPr="0003219D" w:rsidRDefault="004A7F74" w:rsidP="004A7F74">
            <w:pPr>
              <w:pStyle w:val="Compact"/>
              <w:rPr>
                <w:rFonts w:ascii="Arial" w:hAnsi="Arial" w:cs="Arial"/>
              </w:rPr>
            </w:pPr>
            <w:r w:rsidRPr="0003219D">
              <w:rPr>
                <w:rFonts w:ascii="Arial" w:hAnsi="Arial" w:cs="Arial"/>
              </w:rPr>
              <w:t>Align usage revenue to consumption periods, not invoice timing</w:t>
            </w:r>
          </w:p>
        </w:tc>
        <w:tc>
          <w:tcPr>
            <w:tcW w:w="3600" w:type="dxa"/>
          </w:tcPr>
          <w:p w14:paraId="07A7E518" w14:textId="063B9ED5" w:rsidR="004A7F74" w:rsidRPr="0003219D" w:rsidRDefault="00975D43" w:rsidP="004A7F74">
            <w:pPr>
              <w:pStyle w:val="Compact"/>
              <w:rPr>
                <w:rFonts w:ascii="Arial" w:hAnsi="Arial" w:cs="Arial"/>
              </w:rPr>
            </w:pPr>
            <w:r w:rsidRPr="0003219D">
              <w:rPr>
                <w:rFonts w:ascii="Arial" w:hAnsi="Arial" w:cs="Arial"/>
              </w:rPr>
              <w:t>If usage revenue is tied to invoice date instead of consumption period, finance must manually adjust revenue schedules to stay compliant with ASC 606.</w:t>
            </w:r>
          </w:p>
        </w:tc>
        <w:tc>
          <w:tcPr>
            <w:tcW w:w="2598" w:type="dxa"/>
          </w:tcPr>
          <w:p w14:paraId="4F0C82BD" w14:textId="77777777" w:rsidR="004A7F74" w:rsidRPr="0003219D" w:rsidRDefault="004A7F74" w:rsidP="004A7F74">
            <w:pPr>
              <w:pStyle w:val="Compact"/>
              <w:rPr>
                <w:rFonts w:ascii="Arial" w:hAnsi="Arial" w:cs="Arial"/>
              </w:rPr>
            </w:pPr>
          </w:p>
        </w:tc>
      </w:tr>
      <w:tr w:rsidR="00B9708E" w:rsidRPr="0003219D" w14:paraId="00BD6D90" w14:textId="77777777" w:rsidTr="00B9708E">
        <w:tc>
          <w:tcPr>
            <w:tcW w:w="749" w:type="dxa"/>
          </w:tcPr>
          <w:p w14:paraId="61B95F0A" w14:textId="77777777" w:rsidR="004A7F74" w:rsidRPr="0003219D" w:rsidRDefault="004A7F74" w:rsidP="004A7F74">
            <w:pPr>
              <w:pStyle w:val="Compact"/>
              <w:rPr>
                <w:rFonts w:ascii="Arial" w:hAnsi="Arial" w:cs="Arial"/>
              </w:rPr>
            </w:pPr>
            <w:r w:rsidRPr="0003219D">
              <w:rPr>
                <w:rFonts w:ascii="Arial" w:hAnsi="Arial" w:cs="Arial"/>
              </w:rPr>
              <w:t>5.9</w:t>
            </w:r>
          </w:p>
        </w:tc>
        <w:tc>
          <w:tcPr>
            <w:tcW w:w="2431" w:type="dxa"/>
          </w:tcPr>
          <w:p w14:paraId="1F7FEC95" w14:textId="77777777" w:rsidR="004A7F74" w:rsidRPr="0003219D" w:rsidRDefault="004A7F74" w:rsidP="004A7F74">
            <w:pPr>
              <w:pStyle w:val="Compact"/>
              <w:rPr>
                <w:rFonts w:ascii="Arial" w:hAnsi="Arial" w:cs="Arial"/>
              </w:rPr>
            </w:pPr>
            <w:r w:rsidRPr="0003219D">
              <w:rPr>
                <w:rFonts w:ascii="Arial" w:hAnsi="Arial" w:cs="Arial"/>
              </w:rPr>
              <w:t>Manage unbilled receivables automatically for variable billing</w:t>
            </w:r>
          </w:p>
        </w:tc>
        <w:tc>
          <w:tcPr>
            <w:tcW w:w="3600" w:type="dxa"/>
          </w:tcPr>
          <w:p w14:paraId="09A3E3D4" w14:textId="08C97E8C" w:rsidR="004A7F74" w:rsidRPr="0003219D" w:rsidRDefault="00975D43" w:rsidP="004A7F74">
            <w:pPr>
              <w:pStyle w:val="Compact"/>
              <w:rPr>
                <w:rFonts w:ascii="Arial" w:hAnsi="Arial" w:cs="Arial"/>
              </w:rPr>
            </w:pPr>
            <w:r w:rsidRPr="0003219D">
              <w:rPr>
                <w:rFonts w:ascii="Arial" w:hAnsi="Arial" w:cs="Arial"/>
              </w:rPr>
              <w:t>If unbilled receivables aren’t managed automatically, finance must calculate and post journal entries manually to reconcile earned vs. billed revenue.</w:t>
            </w:r>
          </w:p>
        </w:tc>
        <w:tc>
          <w:tcPr>
            <w:tcW w:w="2598" w:type="dxa"/>
          </w:tcPr>
          <w:p w14:paraId="6F67EB5E" w14:textId="77777777" w:rsidR="004A7F74" w:rsidRPr="0003219D" w:rsidRDefault="004A7F74" w:rsidP="004A7F74">
            <w:pPr>
              <w:pStyle w:val="Compact"/>
              <w:rPr>
                <w:rFonts w:ascii="Arial" w:hAnsi="Arial" w:cs="Arial"/>
              </w:rPr>
            </w:pPr>
          </w:p>
        </w:tc>
      </w:tr>
    </w:tbl>
    <w:p w14:paraId="7E20DCE3" w14:textId="6A7D33EC" w:rsidR="00EC73D7" w:rsidRPr="0003219D" w:rsidRDefault="00EC73D7">
      <w:pPr>
        <w:rPr>
          <w:rFonts w:ascii="Arial" w:hAnsi="Arial" w:cs="Arial"/>
        </w:rPr>
      </w:pPr>
    </w:p>
    <w:p w14:paraId="4DC6FDC8" w14:textId="77777777" w:rsidR="00EC73D7" w:rsidRPr="0003219D" w:rsidRDefault="00000000">
      <w:pPr>
        <w:pStyle w:val="Heading1"/>
        <w:rPr>
          <w:rFonts w:ascii="Arial" w:hAnsi="Arial" w:cs="Arial"/>
        </w:rPr>
      </w:pPr>
      <w:bookmarkStart w:id="12" w:name="X64660865f4cf52238a670c90abaa3fb6a48e322"/>
      <w:bookmarkEnd w:id="11"/>
      <w:r w:rsidRPr="0003219D">
        <w:rPr>
          <w:rFonts w:ascii="Arial" w:hAnsi="Arial" w:cs="Arial"/>
        </w:rPr>
        <w:t>Section 6: Integration and workflow automation</w:t>
      </w:r>
    </w:p>
    <w:p w14:paraId="3F8D0D96" w14:textId="71AEE171" w:rsidR="00EC73D7" w:rsidRPr="0003219D" w:rsidRDefault="000347CA" w:rsidP="00B9708E">
      <w:pPr>
        <w:pStyle w:val="BodyText"/>
        <w:rPr>
          <w:rFonts w:ascii="Arial" w:hAnsi="Arial" w:cs="Arial"/>
        </w:rPr>
      </w:pPr>
      <w:r w:rsidRPr="0003219D">
        <w:rPr>
          <w:rFonts w:ascii="Arial" w:hAnsi="Arial" w:cs="Arial"/>
        </w:rPr>
        <w:t>When billing logic is fragmented across CRM, ERP and external platforms, teams face integration failures, lost audit trails and manual cleanup. A billing system must support end-to-end continuity without requiring intermediary objects or duplicate records.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55"/>
        <w:gridCol w:w="2373"/>
        <w:gridCol w:w="3498"/>
        <w:gridCol w:w="2531"/>
      </w:tblGrid>
      <w:tr w:rsidR="00B9708E" w:rsidRPr="0003219D" w14:paraId="62A0447C" w14:textId="77777777" w:rsidTr="00B9708E">
        <w:trPr>
          <w:cnfStyle w:val="100000000000" w:firstRow="1" w:lastRow="0" w:firstColumn="0" w:lastColumn="0" w:oddVBand="0" w:evenVBand="0" w:oddHBand="0" w:evenHBand="0" w:firstRowFirstColumn="0" w:firstRowLastColumn="0" w:lastRowFirstColumn="0" w:lastRowLastColumn="0"/>
          <w:tblHeader/>
        </w:trPr>
        <w:tc>
          <w:tcPr>
            <w:tcW w:w="769" w:type="dxa"/>
          </w:tcPr>
          <w:p w14:paraId="214F101B" w14:textId="77777777" w:rsidR="00EC73D7" w:rsidRPr="0003219D" w:rsidRDefault="00000000">
            <w:pPr>
              <w:pStyle w:val="Compact"/>
              <w:rPr>
                <w:rFonts w:ascii="Arial" w:hAnsi="Arial" w:cs="Arial"/>
              </w:rPr>
            </w:pPr>
            <w:r w:rsidRPr="0003219D">
              <w:rPr>
                <w:rFonts w:ascii="Arial" w:hAnsi="Arial" w:cs="Arial"/>
              </w:rPr>
              <w:t>Ref</w:t>
            </w:r>
          </w:p>
        </w:tc>
        <w:tc>
          <w:tcPr>
            <w:tcW w:w="2430" w:type="dxa"/>
          </w:tcPr>
          <w:p w14:paraId="7129A2C3" w14:textId="77777777" w:rsidR="00EC73D7" w:rsidRPr="0003219D" w:rsidRDefault="00000000">
            <w:pPr>
              <w:pStyle w:val="Compact"/>
              <w:rPr>
                <w:rFonts w:ascii="Arial" w:hAnsi="Arial" w:cs="Arial"/>
              </w:rPr>
            </w:pPr>
            <w:r w:rsidRPr="0003219D">
              <w:rPr>
                <w:rFonts w:ascii="Arial" w:hAnsi="Arial" w:cs="Arial"/>
              </w:rPr>
              <w:t>Requirement</w:t>
            </w:r>
          </w:p>
        </w:tc>
        <w:tc>
          <w:tcPr>
            <w:tcW w:w="3586" w:type="dxa"/>
          </w:tcPr>
          <w:p w14:paraId="65561391" w14:textId="77777777" w:rsidR="00EC73D7" w:rsidRPr="0003219D" w:rsidRDefault="00000000">
            <w:pPr>
              <w:pStyle w:val="Compact"/>
              <w:rPr>
                <w:rFonts w:ascii="Arial" w:hAnsi="Arial" w:cs="Arial"/>
              </w:rPr>
            </w:pPr>
            <w:r w:rsidRPr="0003219D">
              <w:rPr>
                <w:rFonts w:ascii="Arial" w:hAnsi="Arial" w:cs="Arial"/>
              </w:rPr>
              <w:t>Considerations</w:t>
            </w:r>
          </w:p>
        </w:tc>
        <w:tc>
          <w:tcPr>
            <w:tcW w:w="2593" w:type="dxa"/>
          </w:tcPr>
          <w:p w14:paraId="32397DEA"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5E74B72F" w14:textId="77777777" w:rsidTr="00B9708E">
        <w:tc>
          <w:tcPr>
            <w:tcW w:w="769" w:type="dxa"/>
          </w:tcPr>
          <w:p w14:paraId="2AA139FF" w14:textId="4E62CE66" w:rsidR="00B553E6" w:rsidRPr="0003219D" w:rsidRDefault="00B553E6" w:rsidP="00B553E6">
            <w:pPr>
              <w:pStyle w:val="Compact"/>
              <w:rPr>
                <w:rFonts w:ascii="Arial" w:hAnsi="Arial" w:cs="Arial"/>
              </w:rPr>
            </w:pPr>
            <w:r w:rsidRPr="00E320A3">
              <w:rPr>
                <w:rFonts w:ascii="Arial" w:hAnsi="Arial" w:cs="Arial"/>
              </w:rPr>
              <w:t>6.1</w:t>
            </w:r>
          </w:p>
        </w:tc>
        <w:tc>
          <w:tcPr>
            <w:tcW w:w="2430" w:type="dxa"/>
          </w:tcPr>
          <w:p w14:paraId="063AC58E" w14:textId="3F94F36D" w:rsidR="00B553E6" w:rsidRPr="0003219D" w:rsidRDefault="00B553E6" w:rsidP="00B553E6">
            <w:pPr>
              <w:pStyle w:val="Compact"/>
              <w:rPr>
                <w:rFonts w:ascii="Arial" w:hAnsi="Arial" w:cs="Arial"/>
              </w:rPr>
            </w:pPr>
            <w:r w:rsidRPr="00E320A3">
              <w:rPr>
                <w:rFonts w:ascii="Arial" w:hAnsi="Arial" w:cs="Arial"/>
              </w:rPr>
              <w:t>Sync product and pricing configuration directly from CRM or CPQ</w:t>
            </w:r>
          </w:p>
        </w:tc>
        <w:tc>
          <w:tcPr>
            <w:tcW w:w="3586" w:type="dxa"/>
          </w:tcPr>
          <w:p w14:paraId="17B98ADE" w14:textId="504B644E" w:rsidR="00B553E6" w:rsidRPr="0003219D" w:rsidRDefault="00B553E6" w:rsidP="00B553E6">
            <w:pPr>
              <w:pStyle w:val="Compact"/>
              <w:rPr>
                <w:rFonts w:ascii="Arial" w:hAnsi="Arial" w:cs="Arial"/>
              </w:rPr>
            </w:pPr>
            <w:r w:rsidRPr="00E320A3">
              <w:rPr>
                <w:rFonts w:ascii="Arial" w:hAnsi="Arial" w:cs="Arial"/>
              </w:rPr>
              <w:t>When billing systems rely on static product catalogs or manual entry, teams must duplicate configuration logic – leading to discrepancies between quoted and billed values</w:t>
            </w:r>
          </w:p>
        </w:tc>
        <w:tc>
          <w:tcPr>
            <w:tcW w:w="2593" w:type="dxa"/>
          </w:tcPr>
          <w:p w14:paraId="4411158E" w14:textId="77777777" w:rsidR="00B553E6" w:rsidRPr="0003219D" w:rsidRDefault="00B553E6" w:rsidP="00B553E6">
            <w:pPr>
              <w:pStyle w:val="Compact"/>
              <w:rPr>
                <w:rFonts w:ascii="Arial" w:hAnsi="Arial" w:cs="Arial"/>
              </w:rPr>
            </w:pPr>
          </w:p>
        </w:tc>
      </w:tr>
      <w:tr w:rsidR="00B9708E" w:rsidRPr="0003219D" w14:paraId="44542BA0" w14:textId="77777777" w:rsidTr="00B9708E">
        <w:tc>
          <w:tcPr>
            <w:tcW w:w="769" w:type="dxa"/>
          </w:tcPr>
          <w:p w14:paraId="3D3C0A5D" w14:textId="7753D7A7" w:rsidR="00B553E6" w:rsidRPr="0003219D" w:rsidRDefault="00B553E6" w:rsidP="00B553E6">
            <w:pPr>
              <w:pStyle w:val="Compact"/>
              <w:rPr>
                <w:rFonts w:ascii="Arial" w:hAnsi="Arial" w:cs="Arial"/>
              </w:rPr>
            </w:pPr>
            <w:r w:rsidRPr="00E320A3">
              <w:rPr>
                <w:rFonts w:ascii="Arial" w:hAnsi="Arial" w:cs="Arial"/>
              </w:rPr>
              <w:lastRenderedPageBreak/>
              <w:t>6.2</w:t>
            </w:r>
          </w:p>
        </w:tc>
        <w:tc>
          <w:tcPr>
            <w:tcW w:w="2430" w:type="dxa"/>
          </w:tcPr>
          <w:p w14:paraId="436673B7" w14:textId="66852145" w:rsidR="00B553E6" w:rsidRPr="0003219D" w:rsidRDefault="00B553E6" w:rsidP="00B553E6">
            <w:pPr>
              <w:pStyle w:val="Compact"/>
              <w:rPr>
                <w:rFonts w:ascii="Arial" w:hAnsi="Arial" w:cs="Arial"/>
              </w:rPr>
            </w:pPr>
            <w:r w:rsidRPr="00E320A3">
              <w:rPr>
                <w:rFonts w:ascii="Arial" w:hAnsi="Arial" w:cs="Arial"/>
              </w:rPr>
              <w:t>Reflect amendments made in CRM directly in billing records, without requiring change orders</w:t>
            </w:r>
          </w:p>
        </w:tc>
        <w:tc>
          <w:tcPr>
            <w:tcW w:w="3586" w:type="dxa"/>
          </w:tcPr>
          <w:p w14:paraId="4C721CD4" w14:textId="1B1698EC" w:rsidR="00B553E6" w:rsidRPr="0003219D" w:rsidRDefault="00B553E6" w:rsidP="00B553E6">
            <w:pPr>
              <w:pStyle w:val="Compact"/>
              <w:rPr>
                <w:rFonts w:ascii="Arial" w:hAnsi="Arial" w:cs="Arial"/>
              </w:rPr>
            </w:pPr>
            <w:r w:rsidRPr="00E320A3">
              <w:rPr>
                <w:rFonts w:ascii="Arial" w:hAnsi="Arial" w:cs="Arial"/>
              </w:rPr>
              <w:t>If every amendment requires a new change order, teams face delays, rekeying and increased error risk</w:t>
            </w:r>
            <w:r w:rsidR="005411DD">
              <w:rPr>
                <w:rFonts w:ascii="Arial" w:hAnsi="Arial" w:cs="Arial"/>
              </w:rPr>
              <w:t xml:space="preserve">, </w:t>
            </w:r>
            <w:r w:rsidRPr="00E320A3">
              <w:rPr>
                <w:rFonts w:ascii="Arial" w:hAnsi="Arial" w:cs="Arial"/>
              </w:rPr>
              <w:t>especially in high-velocity or high-touch sales environments</w:t>
            </w:r>
          </w:p>
        </w:tc>
        <w:tc>
          <w:tcPr>
            <w:tcW w:w="2593" w:type="dxa"/>
          </w:tcPr>
          <w:p w14:paraId="50C8D9B1" w14:textId="77777777" w:rsidR="00B553E6" w:rsidRPr="0003219D" w:rsidRDefault="00B553E6" w:rsidP="00B553E6">
            <w:pPr>
              <w:pStyle w:val="Compact"/>
              <w:rPr>
                <w:rFonts w:ascii="Arial" w:hAnsi="Arial" w:cs="Arial"/>
              </w:rPr>
            </w:pPr>
          </w:p>
        </w:tc>
      </w:tr>
      <w:tr w:rsidR="00B9708E" w:rsidRPr="0003219D" w14:paraId="628D6E52" w14:textId="77777777" w:rsidTr="00B9708E">
        <w:tc>
          <w:tcPr>
            <w:tcW w:w="769" w:type="dxa"/>
          </w:tcPr>
          <w:p w14:paraId="01E6F310" w14:textId="4C8E58B5" w:rsidR="00B553E6" w:rsidRPr="0003219D" w:rsidRDefault="00B553E6" w:rsidP="00B553E6">
            <w:pPr>
              <w:pStyle w:val="Compact"/>
              <w:rPr>
                <w:rFonts w:ascii="Arial" w:hAnsi="Arial" w:cs="Arial"/>
              </w:rPr>
            </w:pPr>
            <w:r w:rsidRPr="00E320A3">
              <w:rPr>
                <w:rFonts w:ascii="Arial" w:hAnsi="Arial" w:cs="Arial"/>
              </w:rPr>
              <w:t>6.3</w:t>
            </w:r>
          </w:p>
        </w:tc>
        <w:tc>
          <w:tcPr>
            <w:tcW w:w="2430" w:type="dxa"/>
          </w:tcPr>
          <w:p w14:paraId="14075DAB" w14:textId="0BEE053A" w:rsidR="00B553E6" w:rsidRPr="0003219D" w:rsidRDefault="00B553E6" w:rsidP="00B553E6">
            <w:pPr>
              <w:pStyle w:val="Compact"/>
              <w:rPr>
                <w:rFonts w:ascii="Arial" w:hAnsi="Arial" w:cs="Arial"/>
              </w:rPr>
            </w:pPr>
            <w:r w:rsidRPr="00E320A3">
              <w:rPr>
                <w:rFonts w:ascii="Arial" w:hAnsi="Arial" w:cs="Arial"/>
              </w:rPr>
              <w:t>Accept usage data from multiple sources (e.g. product telemetry, APIs, files) in real time</w:t>
            </w:r>
          </w:p>
        </w:tc>
        <w:tc>
          <w:tcPr>
            <w:tcW w:w="3586" w:type="dxa"/>
          </w:tcPr>
          <w:p w14:paraId="79A12D15" w14:textId="37E2A642" w:rsidR="00B553E6" w:rsidRPr="0003219D" w:rsidRDefault="00B553E6" w:rsidP="00B553E6">
            <w:pPr>
              <w:pStyle w:val="Compact"/>
              <w:rPr>
                <w:rFonts w:ascii="Arial" w:hAnsi="Arial" w:cs="Arial"/>
              </w:rPr>
            </w:pPr>
            <w:r w:rsidRPr="00E320A3">
              <w:rPr>
                <w:rFonts w:ascii="Arial" w:hAnsi="Arial" w:cs="Arial"/>
              </w:rPr>
              <w:t>Systems that only accept batch uploads or predefined formats cannot handle dynamic usage</w:t>
            </w:r>
            <w:r w:rsidR="005411DD">
              <w:rPr>
                <w:rFonts w:ascii="Arial" w:hAnsi="Arial" w:cs="Arial"/>
              </w:rPr>
              <w:t>,</w:t>
            </w:r>
            <w:r w:rsidRPr="00E320A3">
              <w:rPr>
                <w:rFonts w:ascii="Arial" w:hAnsi="Arial" w:cs="Arial"/>
              </w:rPr>
              <w:t xml:space="preserve"> forcing engineering or ops to build preprocessing pipelines</w:t>
            </w:r>
          </w:p>
        </w:tc>
        <w:tc>
          <w:tcPr>
            <w:tcW w:w="2593" w:type="dxa"/>
          </w:tcPr>
          <w:p w14:paraId="374B65CE" w14:textId="77777777" w:rsidR="00B553E6" w:rsidRPr="0003219D" w:rsidRDefault="00B553E6" w:rsidP="00B553E6">
            <w:pPr>
              <w:pStyle w:val="Compact"/>
              <w:rPr>
                <w:rFonts w:ascii="Arial" w:hAnsi="Arial" w:cs="Arial"/>
              </w:rPr>
            </w:pPr>
          </w:p>
        </w:tc>
      </w:tr>
      <w:tr w:rsidR="00B9708E" w:rsidRPr="0003219D" w14:paraId="455BD7CC" w14:textId="77777777" w:rsidTr="00B9708E">
        <w:tc>
          <w:tcPr>
            <w:tcW w:w="769" w:type="dxa"/>
          </w:tcPr>
          <w:p w14:paraId="151225EB" w14:textId="737CD492" w:rsidR="00B553E6" w:rsidRPr="0003219D" w:rsidRDefault="00B553E6" w:rsidP="00B553E6">
            <w:pPr>
              <w:pStyle w:val="Compact"/>
              <w:rPr>
                <w:rFonts w:ascii="Arial" w:hAnsi="Arial" w:cs="Arial"/>
              </w:rPr>
            </w:pPr>
            <w:r w:rsidRPr="00E320A3">
              <w:rPr>
                <w:rFonts w:ascii="Arial" w:hAnsi="Arial" w:cs="Arial"/>
              </w:rPr>
              <w:t>6.4</w:t>
            </w:r>
          </w:p>
        </w:tc>
        <w:tc>
          <w:tcPr>
            <w:tcW w:w="2430" w:type="dxa"/>
          </w:tcPr>
          <w:p w14:paraId="74456AFB" w14:textId="16F3C8B2" w:rsidR="00B553E6" w:rsidRPr="0003219D" w:rsidRDefault="00B553E6" w:rsidP="00B553E6">
            <w:pPr>
              <w:pStyle w:val="Compact"/>
              <w:rPr>
                <w:rFonts w:ascii="Arial" w:hAnsi="Arial" w:cs="Arial"/>
              </w:rPr>
            </w:pPr>
            <w:r w:rsidRPr="00E320A3">
              <w:rPr>
                <w:rFonts w:ascii="Arial" w:hAnsi="Arial" w:cs="Arial"/>
              </w:rPr>
              <w:t>Allow external systems to trigger billing events via API</w:t>
            </w:r>
          </w:p>
        </w:tc>
        <w:tc>
          <w:tcPr>
            <w:tcW w:w="3586" w:type="dxa"/>
          </w:tcPr>
          <w:p w14:paraId="26260B62" w14:textId="3E6B52FA" w:rsidR="00B553E6" w:rsidRPr="0003219D" w:rsidRDefault="00B553E6" w:rsidP="00B553E6">
            <w:pPr>
              <w:pStyle w:val="Compact"/>
              <w:rPr>
                <w:rFonts w:ascii="Arial" w:hAnsi="Arial" w:cs="Arial"/>
              </w:rPr>
            </w:pPr>
            <w:r w:rsidRPr="00E320A3">
              <w:rPr>
                <w:rFonts w:ascii="Arial" w:hAnsi="Arial" w:cs="Arial"/>
              </w:rPr>
              <w:t>Without real-time event handling, billing lags behind service delivery or usage</w:t>
            </w:r>
            <w:r w:rsidR="005411DD">
              <w:rPr>
                <w:rFonts w:ascii="Arial" w:hAnsi="Arial" w:cs="Arial"/>
              </w:rPr>
              <w:t xml:space="preserve"> and delays </w:t>
            </w:r>
            <w:r w:rsidRPr="00E320A3">
              <w:rPr>
                <w:rFonts w:ascii="Arial" w:hAnsi="Arial" w:cs="Arial"/>
              </w:rPr>
              <w:t>invoicing</w:t>
            </w:r>
            <w:r w:rsidR="005411DD">
              <w:rPr>
                <w:rFonts w:ascii="Arial" w:hAnsi="Arial" w:cs="Arial"/>
              </w:rPr>
              <w:t xml:space="preserve">, </w:t>
            </w:r>
            <w:r w:rsidRPr="00E320A3">
              <w:rPr>
                <w:rFonts w:ascii="Arial" w:hAnsi="Arial" w:cs="Arial"/>
              </w:rPr>
              <w:t>causing misalignment with customer expectations</w:t>
            </w:r>
          </w:p>
        </w:tc>
        <w:tc>
          <w:tcPr>
            <w:tcW w:w="2593" w:type="dxa"/>
          </w:tcPr>
          <w:p w14:paraId="1C8F6D2B" w14:textId="77777777" w:rsidR="00B553E6" w:rsidRPr="0003219D" w:rsidRDefault="00B553E6" w:rsidP="00B553E6">
            <w:pPr>
              <w:pStyle w:val="Compact"/>
              <w:rPr>
                <w:rFonts w:ascii="Arial" w:hAnsi="Arial" w:cs="Arial"/>
              </w:rPr>
            </w:pPr>
          </w:p>
        </w:tc>
      </w:tr>
      <w:tr w:rsidR="00B9708E" w:rsidRPr="0003219D" w14:paraId="584F6930" w14:textId="77777777" w:rsidTr="00B9708E">
        <w:tc>
          <w:tcPr>
            <w:tcW w:w="769" w:type="dxa"/>
          </w:tcPr>
          <w:p w14:paraId="70656552" w14:textId="0C0E77F5" w:rsidR="00B553E6" w:rsidRPr="0003219D" w:rsidRDefault="00B553E6" w:rsidP="00B553E6">
            <w:pPr>
              <w:pStyle w:val="Compact"/>
              <w:rPr>
                <w:rFonts w:ascii="Arial" w:hAnsi="Arial" w:cs="Arial"/>
              </w:rPr>
            </w:pPr>
            <w:r w:rsidRPr="00E320A3">
              <w:rPr>
                <w:rFonts w:ascii="Arial" w:hAnsi="Arial" w:cs="Arial"/>
              </w:rPr>
              <w:t>6.5</w:t>
            </w:r>
          </w:p>
        </w:tc>
        <w:tc>
          <w:tcPr>
            <w:tcW w:w="2430" w:type="dxa"/>
          </w:tcPr>
          <w:p w14:paraId="7CECDC44" w14:textId="221C9C57" w:rsidR="00B553E6" w:rsidRPr="0003219D" w:rsidRDefault="00B553E6" w:rsidP="00B553E6">
            <w:pPr>
              <w:pStyle w:val="Compact"/>
              <w:rPr>
                <w:rFonts w:ascii="Arial" w:hAnsi="Arial" w:cs="Arial"/>
              </w:rPr>
            </w:pPr>
            <w:r w:rsidRPr="00E320A3">
              <w:rPr>
                <w:rFonts w:ascii="Arial" w:hAnsi="Arial" w:cs="Arial"/>
              </w:rPr>
              <w:t>Push billing data downstream to finance, analytics and data warehouse systems automatically</w:t>
            </w:r>
          </w:p>
        </w:tc>
        <w:tc>
          <w:tcPr>
            <w:tcW w:w="3586" w:type="dxa"/>
          </w:tcPr>
          <w:p w14:paraId="25CB290C" w14:textId="3EA68122" w:rsidR="00B553E6" w:rsidRPr="0003219D" w:rsidRDefault="00B553E6" w:rsidP="00B553E6">
            <w:pPr>
              <w:pStyle w:val="Compact"/>
              <w:rPr>
                <w:rFonts w:ascii="Arial" w:hAnsi="Arial" w:cs="Arial"/>
              </w:rPr>
            </w:pPr>
            <w:r w:rsidRPr="00E320A3">
              <w:rPr>
                <w:rFonts w:ascii="Arial" w:hAnsi="Arial" w:cs="Arial"/>
              </w:rPr>
              <w:t>Manual exports or delayed syncs create reporting gaps, reconciliation work and stale data in revenue dashboards or close processes</w:t>
            </w:r>
          </w:p>
        </w:tc>
        <w:tc>
          <w:tcPr>
            <w:tcW w:w="2593" w:type="dxa"/>
          </w:tcPr>
          <w:p w14:paraId="7DF26D13" w14:textId="77777777" w:rsidR="00B553E6" w:rsidRPr="0003219D" w:rsidRDefault="00B553E6" w:rsidP="00B553E6">
            <w:pPr>
              <w:pStyle w:val="Compact"/>
              <w:rPr>
                <w:rFonts w:ascii="Arial" w:hAnsi="Arial" w:cs="Arial"/>
              </w:rPr>
            </w:pPr>
          </w:p>
        </w:tc>
      </w:tr>
      <w:tr w:rsidR="00B9708E" w:rsidRPr="0003219D" w14:paraId="659D204F" w14:textId="77777777" w:rsidTr="00B9708E">
        <w:tc>
          <w:tcPr>
            <w:tcW w:w="769" w:type="dxa"/>
          </w:tcPr>
          <w:p w14:paraId="432F158F" w14:textId="14B4D2CA" w:rsidR="00B553E6" w:rsidRPr="0003219D" w:rsidRDefault="00B553E6" w:rsidP="00B553E6">
            <w:pPr>
              <w:pStyle w:val="Compact"/>
              <w:rPr>
                <w:rFonts w:ascii="Arial" w:hAnsi="Arial" w:cs="Arial"/>
              </w:rPr>
            </w:pPr>
            <w:r w:rsidRPr="00E320A3">
              <w:rPr>
                <w:rFonts w:ascii="Arial" w:hAnsi="Arial" w:cs="Arial"/>
              </w:rPr>
              <w:t>6.6</w:t>
            </w:r>
          </w:p>
        </w:tc>
        <w:tc>
          <w:tcPr>
            <w:tcW w:w="2430" w:type="dxa"/>
          </w:tcPr>
          <w:p w14:paraId="005AF874" w14:textId="78075643" w:rsidR="00B553E6" w:rsidRPr="0003219D" w:rsidRDefault="00B553E6" w:rsidP="00B553E6">
            <w:pPr>
              <w:pStyle w:val="Compact"/>
              <w:rPr>
                <w:rFonts w:ascii="Arial" w:hAnsi="Arial" w:cs="Arial"/>
              </w:rPr>
            </w:pPr>
            <w:r w:rsidRPr="00E320A3">
              <w:rPr>
                <w:rFonts w:ascii="Arial" w:hAnsi="Arial" w:cs="Arial"/>
              </w:rPr>
              <w:t>Track and log changes to integrated records for audit and troubleshooting</w:t>
            </w:r>
          </w:p>
        </w:tc>
        <w:tc>
          <w:tcPr>
            <w:tcW w:w="3586" w:type="dxa"/>
          </w:tcPr>
          <w:p w14:paraId="3CFA2407" w14:textId="646441C9" w:rsidR="00B553E6" w:rsidRPr="0003219D" w:rsidRDefault="00B553E6" w:rsidP="00B553E6">
            <w:pPr>
              <w:pStyle w:val="Compact"/>
              <w:rPr>
                <w:rFonts w:ascii="Arial" w:hAnsi="Arial" w:cs="Arial"/>
              </w:rPr>
            </w:pPr>
            <w:r w:rsidRPr="00E320A3">
              <w:rPr>
                <w:rFonts w:ascii="Arial" w:hAnsi="Arial" w:cs="Arial"/>
              </w:rPr>
              <w:t>Without a clear integration audit trail, teams struggle to diagnose issues when data mismatches occur</w:t>
            </w:r>
            <w:r w:rsidR="005411DD">
              <w:rPr>
                <w:rFonts w:ascii="Arial" w:hAnsi="Arial" w:cs="Arial"/>
              </w:rPr>
              <w:t xml:space="preserve">, </w:t>
            </w:r>
            <w:r w:rsidRPr="00E320A3">
              <w:rPr>
                <w:rFonts w:ascii="Arial" w:hAnsi="Arial" w:cs="Arial"/>
              </w:rPr>
              <w:t>increasing the risk of delayed billing or incorrect revenue attribution</w:t>
            </w:r>
          </w:p>
        </w:tc>
        <w:tc>
          <w:tcPr>
            <w:tcW w:w="2593" w:type="dxa"/>
          </w:tcPr>
          <w:p w14:paraId="6344E8A0" w14:textId="77777777" w:rsidR="00B553E6" w:rsidRPr="0003219D" w:rsidRDefault="00B553E6" w:rsidP="00B553E6">
            <w:pPr>
              <w:pStyle w:val="Compact"/>
              <w:rPr>
                <w:rFonts w:ascii="Arial" w:hAnsi="Arial" w:cs="Arial"/>
              </w:rPr>
            </w:pPr>
          </w:p>
        </w:tc>
      </w:tr>
      <w:tr w:rsidR="00B9708E" w:rsidRPr="0003219D" w14:paraId="05F75D15" w14:textId="77777777" w:rsidTr="00B9708E">
        <w:tc>
          <w:tcPr>
            <w:tcW w:w="769" w:type="dxa"/>
          </w:tcPr>
          <w:p w14:paraId="39703804" w14:textId="77777777" w:rsidR="00B553E6" w:rsidRPr="0003219D" w:rsidRDefault="00B553E6" w:rsidP="00B553E6">
            <w:pPr>
              <w:pStyle w:val="Compact"/>
              <w:rPr>
                <w:rFonts w:ascii="Arial" w:hAnsi="Arial" w:cs="Arial"/>
              </w:rPr>
            </w:pPr>
            <w:r w:rsidRPr="0003219D">
              <w:rPr>
                <w:rFonts w:ascii="Arial" w:hAnsi="Arial" w:cs="Arial"/>
              </w:rPr>
              <w:t>6.7</w:t>
            </w:r>
          </w:p>
        </w:tc>
        <w:tc>
          <w:tcPr>
            <w:tcW w:w="2430" w:type="dxa"/>
          </w:tcPr>
          <w:p w14:paraId="2121CBAB" w14:textId="77777777" w:rsidR="00B553E6" w:rsidRPr="0003219D" w:rsidRDefault="00B553E6" w:rsidP="00B553E6">
            <w:pPr>
              <w:pStyle w:val="Compact"/>
              <w:rPr>
                <w:rFonts w:ascii="Arial" w:hAnsi="Arial" w:cs="Arial"/>
              </w:rPr>
            </w:pPr>
            <w:r w:rsidRPr="0003219D">
              <w:rPr>
                <w:rFonts w:ascii="Arial" w:hAnsi="Arial" w:cs="Arial"/>
              </w:rPr>
              <w:t>Prevent activation bottlenecks between CRM/CPQ and billing</w:t>
            </w:r>
          </w:p>
        </w:tc>
        <w:tc>
          <w:tcPr>
            <w:tcW w:w="3586" w:type="dxa"/>
          </w:tcPr>
          <w:p w14:paraId="288F2D46" w14:textId="709B7035" w:rsidR="00B553E6" w:rsidRPr="0003219D" w:rsidRDefault="004E7CA8" w:rsidP="00B553E6">
            <w:pPr>
              <w:pStyle w:val="Compact"/>
              <w:rPr>
                <w:rFonts w:ascii="Arial" w:hAnsi="Arial" w:cs="Arial"/>
              </w:rPr>
            </w:pPr>
            <w:r w:rsidRPr="0003219D">
              <w:rPr>
                <w:rFonts w:ascii="Arial" w:hAnsi="Arial" w:cs="Arial"/>
              </w:rPr>
              <w:t>If billing requires a separate activation step after CRM close, missed handoffs delay invoicing and force finance to backdate revenue and fix reporting manually.</w:t>
            </w:r>
          </w:p>
        </w:tc>
        <w:tc>
          <w:tcPr>
            <w:tcW w:w="2593" w:type="dxa"/>
          </w:tcPr>
          <w:p w14:paraId="17C89B37" w14:textId="77777777" w:rsidR="00B553E6" w:rsidRPr="0003219D" w:rsidRDefault="00B553E6" w:rsidP="00B553E6">
            <w:pPr>
              <w:pStyle w:val="Compact"/>
              <w:rPr>
                <w:rFonts w:ascii="Arial" w:hAnsi="Arial" w:cs="Arial"/>
              </w:rPr>
            </w:pPr>
          </w:p>
        </w:tc>
      </w:tr>
      <w:tr w:rsidR="00B9708E" w:rsidRPr="0003219D" w14:paraId="71FFAD57" w14:textId="77777777" w:rsidTr="00B9708E">
        <w:tc>
          <w:tcPr>
            <w:tcW w:w="769" w:type="dxa"/>
          </w:tcPr>
          <w:p w14:paraId="7DBAA8C5" w14:textId="77777777" w:rsidR="00B553E6" w:rsidRPr="0003219D" w:rsidRDefault="00B553E6" w:rsidP="00B553E6">
            <w:pPr>
              <w:pStyle w:val="Compact"/>
              <w:rPr>
                <w:rFonts w:ascii="Arial" w:hAnsi="Arial" w:cs="Arial"/>
              </w:rPr>
            </w:pPr>
            <w:r w:rsidRPr="0003219D">
              <w:rPr>
                <w:rFonts w:ascii="Arial" w:hAnsi="Arial" w:cs="Arial"/>
              </w:rPr>
              <w:t>6.8</w:t>
            </w:r>
          </w:p>
        </w:tc>
        <w:tc>
          <w:tcPr>
            <w:tcW w:w="2430" w:type="dxa"/>
          </w:tcPr>
          <w:p w14:paraId="7CE98BF8" w14:textId="77777777" w:rsidR="00B553E6" w:rsidRPr="0003219D" w:rsidRDefault="00B553E6" w:rsidP="00B553E6">
            <w:pPr>
              <w:pStyle w:val="Compact"/>
              <w:rPr>
                <w:rFonts w:ascii="Arial" w:hAnsi="Arial" w:cs="Arial"/>
              </w:rPr>
            </w:pPr>
            <w:r w:rsidRPr="0003219D">
              <w:rPr>
                <w:rFonts w:ascii="Arial" w:hAnsi="Arial" w:cs="Arial"/>
              </w:rPr>
              <w:t>Accept CRM/CPQ amendments without intermediary constructs</w:t>
            </w:r>
          </w:p>
        </w:tc>
        <w:tc>
          <w:tcPr>
            <w:tcW w:w="3586" w:type="dxa"/>
          </w:tcPr>
          <w:p w14:paraId="26AB936B" w14:textId="4BF55727" w:rsidR="00B553E6" w:rsidRPr="0003219D" w:rsidRDefault="004E7CA8" w:rsidP="00B553E6">
            <w:pPr>
              <w:pStyle w:val="Compact"/>
              <w:rPr>
                <w:rFonts w:ascii="Arial" w:hAnsi="Arial" w:cs="Arial"/>
              </w:rPr>
            </w:pPr>
            <w:r w:rsidRPr="0003219D">
              <w:rPr>
                <w:rFonts w:ascii="Arial" w:hAnsi="Arial" w:cs="Arial"/>
              </w:rPr>
              <w:t>If amendments require change orders or billing accounts not used in CRM, integrations break on multi-part changes and contract history becomes fragmented.</w:t>
            </w:r>
          </w:p>
        </w:tc>
        <w:tc>
          <w:tcPr>
            <w:tcW w:w="2593" w:type="dxa"/>
          </w:tcPr>
          <w:p w14:paraId="1F43401F" w14:textId="77777777" w:rsidR="00B553E6" w:rsidRPr="0003219D" w:rsidRDefault="00B553E6" w:rsidP="00B553E6">
            <w:pPr>
              <w:pStyle w:val="Compact"/>
              <w:rPr>
                <w:rFonts w:ascii="Arial" w:hAnsi="Arial" w:cs="Arial"/>
              </w:rPr>
            </w:pPr>
          </w:p>
        </w:tc>
      </w:tr>
      <w:tr w:rsidR="00AC6F16" w:rsidRPr="0003219D" w14:paraId="75206F8A" w14:textId="77777777" w:rsidTr="00B9708E">
        <w:tc>
          <w:tcPr>
            <w:tcW w:w="769" w:type="dxa"/>
          </w:tcPr>
          <w:p w14:paraId="29F6EC30" w14:textId="11C5F5BD" w:rsidR="00AC6F16" w:rsidRPr="0003219D" w:rsidRDefault="00AC6F16" w:rsidP="00B553E6">
            <w:pPr>
              <w:pStyle w:val="Compact"/>
              <w:rPr>
                <w:rFonts w:ascii="Arial" w:hAnsi="Arial" w:cs="Arial"/>
              </w:rPr>
            </w:pPr>
            <w:r w:rsidRPr="0003219D">
              <w:rPr>
                <w:rFonts w:ascii="Arial" w:hAnsi="Arial" w:cs="Arial"/>
              </w:rPr>
              <w:lastRenderedPageBreak/>
              <w:t>6.9</w:t>
            </w:r>
          </w:p>
        </w:tc>
        <w:tc>
          <w:tcPr>
            <w:tcW w:w="2430" w:type="dxa"/>
          </w:tcPr>
          <w:p w14:paraId="00CFB419" w14:textId="59B72383" w:rsidR="00AC6F16" w:rsidRPr="0003219D" w:rsidRDefault="00AC6F16" w:rsidP="00B553E6">
            <w:pPr>
              <w:pStyle w:val="Compact"/>
              <w:rPr>
                <w:rFonts w:ascii="Arial" w:hAnsi="Arial" w:cs="Arial"/>
              </w:rPr>
            </w:pPr>
            <w:r w:rsidRPr="0003219D">
              <w:rPr>
                <w:rFonts w:ascii="Arial" w:hAnsi="Arial" w:cs="Arial"/>
              </w:rPr>
              <w:t>Post full sub-ledger transactions to the ERP, not just summarized journal entries</w:t>
            </w:r>
          </w:p>
        </w:tc>
        <w:tc>
          <w:tcPr>
            <w:tcW w:w="3586" w:type="dxa"/>
          </w:tcPr>
          <w:p w14:paraId="3B3CE193" w14:textId="68C6EEC1" w:rsidR="00AC6F16" w:rsidRPr="0003219D" w:rsidRDefault="004E7CA8" w:rsidP="00B553E6">
            <w:pPr>
              <w:pStyle w:val="Compact"/>
              <w:rPr>
                <w:rFonts w:ascii="Arial" w:hAnsi="Arial" w:cs="Arial"/>
              </w:rPr>
            </w:pPr>
            <w:r w:rsidRPr="0003219D">
              <w:rPr>
                <w:rFonts w:ascii="Arial" w:hAnsi="Arial" w:cs="Arial"/>
              </w:rPr>
              <w:t>If only summary journal entries post to the ERP, finance can’t drill into invoices or payments</w:t>
            </w:r>
            <w:r w:rsidR="005411DD">
              <w:rPr>
                <w:rFonts w:ascii="Arial" w:hAnsi="Arial" w:cs="Arial"/>
              </w:rPr>
              <w:t xml:space="preserve">. This forces </w:t>
            </w:r>
            <w:r w:rsidRPr="0003219D">
              <w:rPr>
                <w:rFonts w:ascii="Arial" w:hAnsi="Arial" w:cs="Arial"/>
              </w:rPr>
              <w:t xml:space="preserve">manual reconciliation and </w:t>
            </w:r>
            <w:r w:rsidR="005411DD">
              <w:rPr>
                <w:rFonts w:ascii="Arial" w:hAnsi="Arial" w:cs="Arial"/>
              </w:rPr>
              <w:t>breaks</w:t>
            </w:r>
            <w:r w:rsidRPr="0003219D">
              <w:rPr>
                <w:rFonts w:ascii="Arial" w:hAnsi="Arial" w:cs="Arial"/>
              </w:rPr>
              <w:t xml:space="preserve"> audit traceability.</w:t>
            </w:r>
          </w:p>
        </w:tc>
        <w:tc>
          <w:tcPr>
            <w:tcW w:w="2593" w:type="dxa"/>
          </w:tcPr>
          <w:p w14:paraId="29A68A9D" w14:textId="77777777" w:rsidR="00AC6F16" w:rsidRPr="0003219D" w:rsidRDefault="00AC6F16" w:rsidP="00B553E6">
            <w:pPr>
              <w:pStyle w:val="Compact"/>
              <w:rPr>
                <w:rFonts w:ascii="Arial" w:hAnsi="Arial" w:cs="Arial"/>
              </w:rPr>
            </w:pPr>
          </w:p>
        </w:tc>
      </w:tr>
    </w:tbl>
    <w:p w14:paraId="78A9D8C4" w14:textId="5548052E" w:rsidR="00EC73D7" w:rsidRPr="0003219D" w:rsidRDefault="00EC73D7">
      <w:pPr>
        <w:rPr>
          <w:rFonts w:ascii="Arial" w:hAnsi="Arial" w:cs="Arial"/>
        </w:rPr>
      </w:pPr>
    </w:p>
    <w:p w14:paraId="26EDC247" w14:textId="77777777" w:rsidR="00EC73D7" w:rsidRPr="0003219D" w:rsidRDefault="00000000">
      <w:pPr>
        <w:pStyle w:val="Heading1"/>
        <w:rPr>
          <w:rFonts w:ascii="Arial" w:hAnsi="Arial" w:cs="Arial"/>
        </w:rPr>
      </w:pPr>
      <w:bookmarkStart w:id="13" w:name="section-7-futureproofing"/>
      <w:bookmarkEnd w:id="12"/>
      <w:r w:rsidRPr="0003219D">
        <w:rPr>
          <w:rFonts w:ascii="Arial" w:hAnsi="Arial" w:cs="Arial"/>
        </w:rPr>
        <w:t>Section 7: Future</w:t>
      </w:r>
      <w:r w:rsidRPr="0003219D">
        <w:rPr>
          <w:rFonts w:ascii="Cambria Math" w:hAnsi="Cambria Math" w:cs="Cambria Math"/>
        </w:rPr>
        <w:t>‑</w:t>
      </w:r>
      <w:r w:rsidRPr="0003219D">
        <w:rPr>
          <w:rFonts w:ascii="Arial" w:hAnsi="Arial" w:cs="Arial"/>
        </w:rPr>
        <w:t>proofing</w:t>
      </w:r>
    </w:p>
    <w:p w14:paraId="0A42E700" w14:textId="2D09570E" w:rsidR="00EC73D7" w:rsidRPr="0003219D" w:rsidRDefault="000347CA">
      <w:pPr>
        <w:pStyle w:val="FirstParagraph"/>
        <w:rPr>
          <w:rFonts w:ascii="Arial" w:hAnsi="Arial" w:cs="Arial"/>
        </w:rPr>
      </w:pPr>
      <w:r w:rsidRPr="0003219D">
        <w:rPr>
          <w:rFonts w:ascii="Arial" w:hAnsi="Arial" w:cs="Arial"/>
        </w:rPr>
        <w:t>Billing needs change as products evolve, pricing grows more complex, and teams adapt their GTM models. This section defines requirements that help the system keep pace – reducing the risk of future rework, custom development, or platform replacement as business needs shift.</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43"/>
        <w:gridCol w:w="2373"/>
        <w:gridCol w:w="3410"/>
        <w:gridCol w:w="2531"/>
      </w:tblGrid>
      <w:tr w:rsidR="00B9708E" w:rsidRPr="0003219D" w14:paraId="34A428C1" w14:textId="77777777" w:rsidTr="00784406">
        <w:trPr>
          <w:cnfStyle w:val="100000000000" w:firstRow="1" w:lastRow="0" w:firstColumn="0" w:lastColumn="0" w:oddVBand="0" w:evenVBand="0" w:oddHBand="0" w:evenHBand="0" w:firstRowFirstColumn="0" w:firstRowLastColumn="0" w:lastRowFirstColumn="0" w:lastRowLastColumn="0"/>
          <w:tblHeader/>
        </w:trPr>
        <w:tc>
          <w:tcPr>
            <w:tcW w:w="859" w:type="dxa"/>
          </w:tcPr>
          <w:p w14:paraId="43A4B03C" w14:textId="77777777" w:rsidR="00EC73D7" w:rsidRPr="0003219D" w:rsidRDefault="00000000">
            <w:pPr>
              <w:pStyle w:val="Compact"/>
              <w:rPr>
                <w:rFonts w:ascii="Arial" w:hAnsi="Arial" w:cs="Arial"/>
              </w:rPr>
            </w:pPr>
            <w:r w:rsidRPr="0003219D">
              <w:rPr>
                <w:rFonts w:ascii="Arial" w:hAnsi="Arial" w:cs="Arial"/>
              </w:rPr>
              <w:t>Ref</w:t>
            </w:r>
          </w:p>
        </w:tc>
        <w:tc>
          <w:tcPr>
            <w:tcW w:w="2431" w:type="dxa"/>
          </w:tcPr>
          <w:p w14:paraId="2009C158" w14:textId="77777777" w:rsidR="00EC73D7" w:rsidRPr="0003219D" w:rsidRDefault="00000000">
            <w:pPr>
              <w:pStyle w:val="Compact"/>
              <w:rPr>
                <w:rFonts w:ascii="Arial" w:hAnsi="Arial" w:cs="Arial"/>
              </w:rPr>
            </w:pPr>
            <w:r w:rsidRPr="0003219D">
              <w:rPr>
                <w:rFonts w:ascii="Arial" w:hAnsi="Arial" w:cs="Arial"/>
              </w:rPr>
              <w:t>Requirement</w:t>
            </w:r>
          </w:p>
        </w:tc>
        <w:tc>
          <w:tcPr>
            <w:tcW w:w="3496" w:type="dxa"/>
          </w:tcPr>
          <w:p w14:paraId="314B14C0" w14:textId="77777777" w:rsidR="00EC73D7" w:rsidRPr="0003219D" w:rsidRDefault="00000000">
            <w:pPr>
              <w:pStyle w:val="Compact"/>
              <w:rPr>
                <w:rFonts w:ascii="Arial" w:hAnsi="Arial" w:cs="Arial"/>
              </w:rPr>
            </w:pPr>
            <w:r w:rsidRPr="0003219D">
              <w:rPr>
                <w:rFonts w:ascii="Arial" w:hAnsi="Arial" w:cs="Arial"/>
              </w:rPr>
              <w:t>Considerations</w:t>
            </w:r>
          </w:p>
        </w:tc>
        <w:tc>
          <w:tcPr>
            <w:tcW w:w="2593" w:type="dxa"/>
          </w:tcPr>
          <w:p w14:paraId="2867E40A" w14:textId="77777777" w:rsidR="00EC73D7" w:rsidRPr="0003219D" w:rsidRDefault="00000000">
            <w:pPr>
              <w:pStyle w:val="Compact"/>
              <w:rPr>
                <w:rFonts w:ascii="Arial" w:hAnsi="Arial" w:cs="Arial"/>
              </w:rPr>
            </w:pPr>
            <w:r w:rsidRPr="0003219D">
              <w:rPr>
                <w:rFonts w:ascii="Arial" w:hAnsi="Arial" w:cs="Arial"/>
              </w:rPr>
              <w:t>Vendor response</w:t>
            </w:r>
          </w:p>
        </w:tc>
      </w:tr>
      <w:tr w:rsidR="00B9708E" w:rsidRPr="0003219D" w14:paraId="7AD272EA" w14:textId="77777777" w:rsidTr="00784406">
        <w:tc>
          <w:tcPr>
            <w:tcW w:w="859" w:type="dxa"/>
          </w:tcPr>
          <w:p w14:paraId="18BC34C7" w14:textId="77777777" w:rsidR="00EC73D7" w:rsidRPr="0003219D" w:rsidRDefault="00000000">
            <w:pPr>
              <w:pStyle w:val="Compact"/>
              <w:rPr>
                <w:rFonts w:ascii="Arial" w:hAnsi="Arial" w:cs="Arial"/>
              </w:rPr>
            </w:pPr>
            <w:r w:rsidRPr="0003219D">
              <w:rPr>
                <w:rFonts w:ascii="Arial" w:hAnsi="Arial" w:cs="Arial"/>
              </w:rPr>
              <w:t>7.1</w:t>
            </w:r>
          </w:p>
        </w:tc>
        <w:tc>
          <w:tcPr>
            <w:tcW w:w="2431" w:type="dxa"/>
          </w:tcPr>
          <w:p w14:paraId="074186C5" w14:textId="77777777" w:rsidR="00EC73D7" w:rsidRPr="0003219D" w:rsidRDefault="00000000">
            <w:pPr>
              <w:pStyle w:val="Compact"/>
              <w:rPr>
                <w:rFonts w:ascii="Arial" w:hAnsi="Arial" w:cs="Arial"/>
              </w:rPr>
            </w:pPr>
            <w:r w:rsidRPr="0003219D">
              <w:rPr>
                <w:rFonts w:ascii="Arial" w:hAnsi="Arial" w:cs="Arial"/>
              </w:rPr>
              <w:t>Support transitions between pricing models (e.g. fixed fee to usage</w:t>
            </w:r>
            <w:r w:rsidRPr="0003219D">
              <w:rPr>
                <w:rFonts w:ascii="Cambria Math" w:hAnsi="Cambria Math" w:cs="Cambria Math"/>
              </w:rPr>
              <w:t>‑</w:t>
            </w:r>
            <w:r w:rsidRPr="0003219D">
              <w:rPr>
                <w:rFonts w:ascii="Arial" w:hAnsi="Arial" w:cs="Arial"/>
              </w:rPr>
              <w:t>based) without reimplementation</w:t>
            </w:r>
          </w:p>
        </w:tc>
        <w:tc>
          <w:tcPr>
            <w:tcW w:w="3496" w:type="dxa"/>
          </w:tcPr>
          <w:p w14:paraId="77DBEA30" w14:textId="77777777" w:rsidR="00EC73D7" w:rsidRPr="0003219D" w:rsidRDefault="00000000">
            <w:pPr>
              <w:pStyle w:val="Compact"/>
              <w:rPr>
                <w:rFonts w:ascii="Arial" w:hAnsi="Arial" w:cs="Arial"/>
              </w:rPr>
            </w:pPr>
            <w:r w:rsidRPr="0003219D">
              <w:rPr>
                <w:rFonts w:ascii="Arial" w:hAnsi="Arial" w:cs="Arial"/>
              </w:rPr>
              <w:t>If pricing changes require reconfiguration of catalogs, contracts or billing logic from scratch, time</w:t>
            </w:r>
            <w:r w:rsidRPr="0003219D">
              <w:rPr>
                <w:rFonts w:ascii="Cambria Math" w:hAnsi="Cambria Math" w:cs="Cambria Math"/>
              </w:rPr>
              <w:t>‑</w:t>
            </w:r>
            <w:r w:rsidRPr="0003219D">
              <w:rPr>
                <w:rFonts w:ascii="Arial" w:hAnsi="Arial" w:cs="Arial"/>
              </w:rPr>
              <w:t>to</w:t>
            </w:r>
            <w:r w:rsidRPr="0003219D">
              <w:rPr>
                <w:rFonts w:ascii="Cambria Math" w:hAnsi="Cambria Math" w:cs="Cambria Math"/>
              </w:rPr>
              <w:t>‑</w:t>
            </w:r>
            <w:r w:rsidRPr="0003219D">
              <w:rPr>
                <w:rFonts w:ascii="Arial" w:hAnsi="Arial" w:cs="Arial"/>
              </w:rPr>
              <w:t>market slows and system cost increases.</w:t>
            </w:r>
          </w:p>
        </w:tc>
        <w:tc>
          <w:tcPr>
            <w:tcW w:w="2593" w:type="dxa"/>
          </w:tcPr>
          <w:p w14:paraId="4AB41D3C" w14:textId="77777777" w:rsidR="00EC73D7" w:rsidRPr="0003219D" w:rsidRDefault="00EC73D7">
            <w:pPr>
              <w:pStyle w:val="Compact"/>
              <w:rPr>
                <w:rFonts w:ascii="Arial" w:hAnsi="Arial" w:cs="Arial"/>
              </w:rPr>
            </w:pPr>
          </w:p>
        </w:tc>
      </w:tr>
      <w:tr w:rsidR="00B9708E" w:rsidRPr="0003219D" w14:paraId="193ACF40" w14:textId="77777777" w:rsidTr="00784406">
        <w:tc>
          <w:tcPr>
            <w:tcW w:w="859" w:type="dxa"/>
          </w:tcPr>
          <w:p w14:paraId="768F7F54" w14:textId="77777777" w:rsidR="00EC73D7" w:rsidRPr="0003219D" w:rsidRDefault="00000000">
            <w:pPr>
              <w:pStyle w:val="Compact"/>
              <w:rPr>
                <w:rFonts w:ascii="Arial" w:hAnsi="Arial" w:cs="Arial"/>
              </w:rPr>
            </w:pPr>
            <w:r w:rsidRPr="0003219D">
              <w:rPr>
                <w:rFonts w:ascii="Arial" w:hAnsi="Arial" w:cs="Arial"/>
              </w:rPr>
              <w:t>7.2</w:t>
            </w:r>
          </w:p>
        </w:tc>
        <w:tc>
          <w:tcPr>
            <w:tcW w:w="2431" w:type="dxa"/>
          </w:tcPr>
          <w:p w14:paraId="7A14B153" w14:textId="77777777" w:rsidR="00EC73D7" w:rsidRPr="0003219D" w:rsidRDefault="00000000">
            <w:pPr>
              <w:pStyle w:val="Compact"/>
              <w:rPr>
                <w:rFonts w:ascii="Arial" w:hAnsi="Arial" w:cs="Arial"/>
              </w:rPr>
            </w:pPr>
            <w:r w:rsidRPr="0003219D">
              <w:rPr>
                <w:rFonts w:ascii="Arial" w:hAnsi="Arial" w:cs="Arial"/>
              </w:rPr>
              <w:t>Handle mixed billing models within a single contract (e.g. fixed, usage and milestone</w:t>
            </w:r>
            <w:r w:rsidRPr="0003219D">
              <w:rPr>
                <w:rFonts w:ascii="Cambria Math" w:hAnsi="Cambria Math" w:cs="Cambria Math"/>
              </w:rPr>
              <w:t>‑</w:t>
            </w:r>
            <w:r w:rsidRPr="0003219D">
              <w:rPr>
                <w:rFonts w:ascii="Arial" w:hAnsi="Arial" w:cs="Arial"/>
              </w:rPr>
              <w:t>based charges)</w:t>
            </w:r>
          </w:p>
        </w:tc>
        <w:tc>
          <w:tcPr>
            <w:tcW w:w="3496" w:type="dxa"/>
          </w:tcPr>
          <w:p w14:paraId="06E3A814" w14:textId="77777777" w:rsidR="00EC73D7" w:rsidRPr="0003219D" w:rsidRDefault="00000000">
            <w:pPr>
              <w:pStyle w:val="Compact"/>
              <w:rPr>
                <w:rFonts w:ascii="Arial" w:hAnsi="Arial" w:cs="Arial"/>
              </w:rPr>
            </w:pPr>
            <w:r w:rsidRPr="0003219D">
              <w:rPr>
                <w:rFonts w:ascii="Arial" w:hAnsi="Arial" w:cs="Arial"/>
              </w:rPr>
              <w:t>Rigid systems that separate billing logic by model create fragmented invoicing, revenue misalignment and duplicate contract records.</w:t>
            </w:r>
          </w:p>
        </w:tc>
        <w:tc>
          <w:tcPr>
            <w:tcW w:w="2593" w:type="dxa"/>
          </w:tcPr>
          <w:p w14:paraId="66B3C288" w14:textId="77777777" w:rsidR="00EC73D7" w:rsidRPr="0003219D" w:rsidRDefault="00EC73D7">
            <w:pPr>
              <w:pStyle w:val="Compact"/>
              <w:rPr>
                <w:rFonts w:ascii="Arial" w:hAnsi="Arial" w:cs="Arial"/>
              </w:rPr>
            </w:pPr>
          </w:p>
        </w:tc>
      </w:tr>
      <w:tr w:rsidR="00B9708E" w:rsidRPr="0003219D" w14:paraId="2A697BE8" w14:textId="77777777" w:rsidTr="00784406">
        <w:tc>
          <w:tcPr>
            <w:tcW w:w="859" w:type="dxa"/>
          </w:tcPr>
          <w:p w14:paraId="002D76B0" w14:textId="77777777" w:rsidR="00EC73D7" w:rsidRPr="0003219D" w:rsidRDefault="00000000">
            <w:pPr>
              <w:pStyle w:val="Compact"/>
              <w:rPr>
                <w:rFonts w:ascii="Arial" w:hAnsi="Arial" w:cs="Arial"/>
              </w:rPr>
            </w:pPr>
            <w:r w:rsidRPr="0003219D">
              <w:rPr>
                <w:rFonts w:ascii="Arial" w:hAnsi="Arial" w:cs="Arial"/>
              </w:rPr>
              <w:t>7.3</w:t>
            </w:r>
          </w:p>
        </w:tc>
        <w:tc>
          <w:tcPr>
            <w:tcW w:w="2431" w:type="dxa"/>
          </w:tcPr>
          <w:p w14:paraId="6B2EE665" w14:textId="77777777" w:rsidR="00EC73D7" w:rsidRPr="0003219D" w:rsidRDefault="00000000">
            <w:pPr>
              <w:pStyle w:val="Compact"/>
              <w:rPr>
                <w:rFonts w:ascii="Arial" w:hAnsi="Arial" w:cs="Arial"/>
              </w:rPr>
            </w:pPr>
            <w:r w:rsidRPr="0003219D">
              <w:rPr>
                <w:rFonts w:ascii="Arial" w:hAnsi="Arial" w:cs="Arial"/>
              </w:rPr>
              <w:t>Allow one billing account or master contract to cover multiple subsidiaries or customer entities</w:t>
            </w:r>
          </w:p>
        </w:tc>
        <w:tc>
          <w:tcPr>
            <w:tcW w:w="3496" w:type="dxa"/>
          </w:tcPr>
          <w:p w14:paraId="0149B432" w14:textId="5239EF63" w:rsidR="00EC73D7" w:rsidRPr="0003219D" w:rsidRDefault="00000000">
            <w:pPr>
              <w:pStyle w:val="Compact"/>
              <w:rPr>
                <w:rFonts w:ascii="Arial" w:hAnsi="Arial" w:cs="Arial"/>
              </w:rPr>
            </w:pPr>
            <w:r w:rsidRPr="0003219D">
              <w:rPr>
                <w:rFonts w:ascii="Arial" w:hAnsi="Arial" w:cs="Arial"/>
              </w:rPr>
              <w:t>Without this, companies serving multi</w:t>
            </w:r>
            <w:r w:rsidRPr="0003219D">
              <w:rPr>
                <w:rFonts w:ascii="Cambria Math" w:hAnsi="Cambria Math" w:cs="Cambria Math"/>
              </w:rPr>
              <w:t>‑</w:t>
            </w:r>
            <w:r w:rsidRPr="0003219D">
              <w:rPr>
                <w:rFonts w:ascii="Arial" w:hAnsi="Arial" w:cs="Arial"/>
              </w:rPr>
              <w:t>entity customers must manage multiple billing records manually</w:t>
            </w:r>
            <w:r w:rsidR="005411DD">
              <w:rPr>
                <w:rFonts w:ascii="Arial" w:hAnsi="Arial" w:cs="Arial"/>
              </w:rPr>
              <w:t>, in turn</w:t>
            </w:r>
            <w:r w:rsidRPr="0003219D">
              <w:rPr>
                <w:rFonts w:ascii="Arial" w:hAnsi="Arial" w:cs="Arial"/>
              </w:rPr>
              <w:t xml:space="preserve"> increasing operational overhead and risking inconsistencies.</w:t>
            </w:r>
          </w:p>
        </w:tc>
        <w:tc>
          <w:tcPr>
            <w:tcW w:w="2593" w:type="dxa"/>
          </w:tcPr>
          <w:p w14:paraId="03929BA3" w14:textId="77777777" w:rsidR="00EC73D7" w:rsidRPr="0003219D" w:rsidRDefault="00EC73D7">
            <w:pPr>
              <w:pStyle w:val="Compact"/>
              <w:rPr>
                <w:rFonts w:ascii="Arial" w:hAnsi="Arial" w:cs="Arial"/>
              </w:rPr>
            </w:pPr>
          </w:p>
        </w:tc>
      </w:tr>
      <w:tr w:rsidR="00B9708E" w:rsidRPr="0003219D" w14:paraId="13D60812" w14:textId="77777777" w:rsidTr="00784406">
        <w:tc>
          <w:tcPr>
            <w:tcW w:w="859" w:type="dxa"/>
          </w:tcPr>
          <w:p w14:paraId="2BC34164" w14:textId="77777777" w:rsidR="00EC73D7" w:rsidRPr="0003219D" w:rsidRDefault="00000000">
            <w:pPr>
              <w:pStyle w:val="Compact"/>
              <w:rPr>
                <w:rFonts w:ascii="Arial" w:hAnsi="Arial" w:cs="Arial"/>
              </w:rPr>
            </w:pPr>
            <w:r w:rsidRPr="0003219D">
              <w:rPr>
                <w:rFonts w:ascii="Arial" w:hAnsi="Arial" w:cs="Arial"/>
              </w:rPr>
              <w:t>7.4</w:t>
            </w:r>
          </w:p>
        </w:tc>
        <w:tc>
          <w:tcPr>
            <w:tcW w:w="2431" w:type="dxa"/>
          </w:tcPr>
          <w:p w14:paraId="7CB0662A" w14:textId="77777777" w:rsidR="00EC73D7" w:rsidRPr="0003219D" w:rsidRDefault="00000000">
            <w:pPr>
              <w:pStyle w:val="Compact"/>
              <w:rPr>
                <w:rFonts w:ascii="Arial" w:hAnsi="Arial" w:cs="Arial"/>
              </w:rPr>
            </w:pPr>
            <w:r w:rsidRPr="0003219D">
              <w:rPr>
                <w:rFonts w:ascii="Arial" w:hAnsi="Arial" w:cs="Arial"/>
              </w:rPr>
              <w:t>Adapt to channel models such as distributor, reseller or partner</w:t>
            </w:r>
            <w:r w:rsidRPr="0003219D">
              <w:rPr>
                <w:rFonts w:ascii="Cambria Math" w:hAnsi="Cambria Math" w:cs="Cambria Math"/>
              </w:rPr>
              <w:t>‑</w:t>
            </w:r>
            <w:r w:rsidRPr="0003219D">
              <w:rPr>
                <w:rFonts w:ascii="Arial" w:hAnsi="Arial" w:cs="Arial"/>
              </w:rPr>
              <w:t>led billing</w:t>
            </w:r>
          </w:p>
        </w:tc>
        <w:tc>
          <w:tcPr>
            <w:tcW w:w="3496" w:type="dxa"/>
          </w:tcPr>
          <w:p w14:paraId="164C50BC" w14:textId="77777777" w:rsidR="00EC73D7" w:rsidRPr="0003219D" w:rsidRDefault="00000000">
            <w:pPr>
              <w:pStyle w:val="Compact"/>
              <w:rPr>
                <w:rFonts w:ascii="Arial" w:hAnsi="Arial" w:cs="Arial"/>
              </w:rPr>
            </w:pPr>
            <w:r w:rsidRPr="0003219D">
              <w:rPr>
                <w:rFonts w:ascii="Arial" w:hAnsi="Arial" w:cs="Arial"/>
              </w:rPr>
              <w:t>Systems that assume direct</w:t>
            </w:r>
            <w:r w:rsidRPr="0003219D">
              <w:rPr>
                <w:rFonts w:ascii="Cambria Math" w:hAnsi="Cambria Math" w:cs="Cambria Math"/>
              </w:rPr>
              <w:t>‑</w:t>
            </w:r>
            <w:r w:rsidRPr="0003219D">
              <w:rPr>
                <w:rFonts w:ascii="Arial" w:hAnsi="Arial" w:cs="Arial"/>
              </w:rPr>
              <w:t>to</w:t>
            </w:r>
            <w:r w:rsidRPr="0003219D">
              <w:rPr>
                <w:rFonts w:ascii="Cambria Math" w:hAnsi="Cambria Math" w:cs="Cambria Math"/>
              </w:rPr>
              <w:t>‑</w:t>
            </w:r>
            <w:r w:rsidRPr="0003219D">
              <w:rPr>
                <w:rFonts w:ascii="Arial" w:hAnsi="Arial" w:cs="Arial"/>
              </w:rPr>
              <w:t>customer billing can’t easily accommodate upstream discounting, downstream invoice generation or multi</w:t>
            </w:r>
            <w:r w:rsidRPr="0003219D">
              <w:rPr>
                <w:rFonts w:ascii="Cambria Math" w:hAnsi="Cambria Math" w:cs="Cambria Math"/>
              </w:rPr>
              <w:t>‑</w:t>
            </w:r>
            <w:r w:rsidRPr="0003219D">
              <w:rPr>
                <w:rFonts w:ascii="Arial" w:hAnsi="Arial" w:cs="Arial"/>
              </w:rPr>
              <w:t>party settlements.</w:t>
            </w:r>
          </w:p>
        </w:tc>
        <w:tc>
          <w:tcPr>
            <w:tcW w:w="2593" w:type="dxa"/>
          </w:tcPr>
          <w:p w14:paraId="08C1F4B9" w14:textId="77777777" w:rsidR="00EC73D7" w:rsidRPr="0003219D" w:rsidRDefault="00EC73D7">
            <w:pPr>
              <w:pStyle w:val="Compact"/>
              <w:rPr>
                <w:rFonts w:ascii="Arial" w:hAnsi="Arial" w:cs="Arial"/>
              </w:rPr>
            </w:pPr>
          </w:p>
        </w:tc>
      </w:tr>
      <w:tr w:rsidR="00B9708E" w:rsidRPr="0003219D" w14:paraId="2ECBDCC7" w14:textId="77777777" w:rsidTr="00784406">
        <w:tc>
          <w:tcPr>
            <w:tcW w:w="859" w:type="dxa"/>
          </w:tcPr>
          <w:p w14:paraId="15004A1F" w14:textId="77777777" w:rsidR="00EC73D7" w:rsidRPr="0003219D" w:rsidRDefault="00000000">
            <w:pPr>
              <w:pStyle w:val="Compact"/>
              <w:rPr>
                <w:rFonts w:ascii="Arial" w:hAnsi="Arial" w:cs="Arial"/>
              </w:rPr>
            </w:pPr>
            <w:r w:rsidRPr="0003219D">
              <w:rPr>
                <w:rFonts w:ascii="Arial" w:hAnsi="Arial" w:cs="Arial"/>
              </w:rPr>
              <w:lastRenderedPageBreak/>
              <w:t>7.5</w:t>
            </w:r>
          </w:p>
        </w:tc>
        <w:tc>
          <w:tcPr>
            <w:tcW w:w="2431" w:type="dxa"/>
          </w:tcPr>
          <w:p w14:paraId="472847DA" w14:textId="77777777" w:rsidR="00EC73D7" w:rsidRPr="0003219D" w:rsidRDefault="00000000">
            <w:pPr>
              <w:pStyle w:val="Compact"/>
              <w:rPr>
                <w:rFonts w:ascii="Arial" w:hAnsi="Arial" w:cs="Arial"/>
              </w:rPr>
            </w:pPr>
            <w:r w:rsidRPr="0003219D">
              <w:rPr>
                <w:rFonts w:ascii="Arial" w:hAnsi="Arial" w:cs="Arial"/>
              </w:rPr>
              <w:t>Enable custom contract logic or billing structures without source code changes</w:t>
            </w:r>
          </w:p>
        </w:tc>
        <w:tc>
          <w:tcPr>
            <w:tcW w:w="3496" w:type="dxa"/>
          </w:tcPr>
          <w:p w14:paraId="6F593FB3" w14:textId="77777777" w:rsidR="00EC73D7" w:rsidRPr="0003219D" w:rsidRDefault="00000000">
            <w:pPr>
              <w:pStyle w:val="Compact"/>
              <w:rPr>
                <w:rFonts w:ascii="Arial" w:hAnsi="Arial" w:cs="Arial"/>
              </w:rPr>
            </w:pPr>
            <w:r w:rsidRPr="0003219D">
              <w:rPr>
                <w:rFonts w:ascii="Arial" w:hAnsi="Arial" w:cs="Arial"/>
              </w:rPr>
              <w:t>If business</w:t>
            </w:r>
            <w:r w:rsidRPr="0003219D">
              <w:rPr>
                <w:rFonts w:ascii="Cambria Math" w:hAnsi="Cambria Math" w:cs="Cambria Math"/>
              </w:rPr>
              <w:t>‑</w:t>
            </w:r>
            <w:r w:rsidRPr="0003219D">
              <w:rPr>
                <w:rFonts w:ascii="Arial" w:hAnsi="Arial" w:cs="Arial"/>
              </w:rPr>
              <w:t>specific billing needs require custom development, agility is limited and cost of change increases with every update.</w:t>
            </w:r>
          </w:p>
        </w:tc>
        <w:tc>
          <w:tcPr>
            <w:tcW w:w="2593" w:type="dxa"/>
          </w:tcPr>
          <w:p w14:paraId="4DED9722" w14:textId="77777777" w:rsidR="00EC73D7" w:rsidRPr="0003219D" w:rsidRDefault="00EC73D7">
            <w:pPr>
              <w:pStyle w:val="Compact"/>
              <w:rPr>
                <w:rFonts w:ascii="Arial" w:hAnsi="Arial" w:cs="Arial"/>
              </w:rPr>
            </w:pPr>
          </w:p>
        </w:tc>
      </w:tr>
      <w:tr w:rsidR="00B9708E" w:rsidRPr="0003219D" w14:paraId="161D43E9" w14:textId="77777777" w:rsidTr="00784406">
        <w:tc>
          <w:tcPr>
            <w:tcW w:w="859" w:type="dxa"/>
          </w:tcPr>
          <w:p w14:paraId="5DE18792" w14:textId="77777777" w:rsidR="00EC73D7" w:rsidRPr="0003219D" w:rsidRDefault="00000000">
            <w:pPr>
              <w:pStyle w:val="Compact"/>
              <w:rPr>
                <w:rFonts w:ascii="Arial" w:hAnsi="Arial" w:cs="Arial"/>
              </w:rPr>
            </w:pPr>
            <w:r w:rsidRPr="0003219D">
              <w:rPr>
                <w:rFonts w:ascii="Arial" w:hAnsi="Arial" w:cs="Arial"/>
              </w:rPr>
              <w:t>7.6</w:t>
            </w:r>
          </w:p>
        </w:tc>
        <w:tc>
          <w:tcPr>
            <w:tcW w:w="2431" w:type="dxa"/>
          </w:tcPr>
          <w:p w14:paraId="301ADE9B" w14:textId="77777777" w:rsidR="00EC73D7" w:rsidRPr="0003219D" w:rsidRDefault="00000000">
            <w:pPr>
              <w:pStyle w:val="Compact"/>
              <w:rPr>
                <w:rFonts w:ascii="Arial" w:hAnsi="Arial" w:cs="Arial"/>
              </w:rPr>
            </w:pPr>
            <w:r w:rsidRPr="0003219D">
              <w:rPr>
                <w:rFonts w:ascii="Arial" w:hAnsi="Arial" w:cs="Arial"/>
              </w:rPr>
              <w:t>Configure new product lines or pricing models without global rework</w:t>
            </w:r>
          </w:p>
        </w:tc>
        <w:tc>
          <w:tcPr>
            <w:tcW w:w="3496" w:type="dxa"/>
          </w:tcPr>
          <w:p w14:paraId="11DAAFBC" w14:textId="77777777" w:rsidR="00EC73D7" w:rsidRPr="0003219D" w:rsidRDefault="00000000">
            <w:pPr>
              <w:pStyle w:val="Compact"/>
              <w:rPr>
                <w:rFonts w:ascii="Arial" w:hAnsi="Arial" w:cs="Arial"/>
              </w:rPr>
            </w:pPr>
            <w:r w:rsidRPr="0003219D">
              <w:rPr>
                <w:rFonts w:ascii="Arial" w:hAnsi="Arial" w:cs="Arial"/>
              </w:rPr>
              <w:t>Systems that tightly couple billing logic to global product catalog or revenue settings introduce unintended downstream changes during new launches.</w:t>
            </w:r>
          </w:p>
        </w:tc>
        <w:tc>
          <w:tcPr>
            <w:tcW w:w="2593" w:type="dxa"/>
          </w:tcPr>
          <w:p w14:paraId="0D948775" w14:textId="77777777" w:rsidR="00EC73D7" w:rsidRPr="0003219D" w:rsidRDefault="00EC73D7">
            <w:pPr>
              <w:pStyle w:val="Compact"/>
              <w:rPr>
                <w:rFonts w:ascii="Arial" w:hAnsi="Arial" w:cs="Arial"/>
              </w:rPr>
            </w:pPr>
          </w:p>
        </w:tc>
      </w:tr>
    </w:tbl>
    <w:p w14:paraId="4FE198B9" w14:textId="72482889" w:rsidR="00EC73D7" w:rsidRPr="0003219D" w:rsidRDefault="00EC73D7">
      <w:pPr>
        <w:rPr>
          <w:rFonts w:ascii="Arial" w:hAnsi="Arial" w:cs="Arial"/>
        </w:rPr>
      </w:pPr>
    </w:p>
    <w:p w14:paraId="1CACBF96" w14:textId="77777777" w:rsidR="00EC73D7" w:rsidRPr="0003219D" w:rsidRDefault="00000000">
      <w:pPr>
        <w:pStyle w:val="Heading2"/>
        <w:rPr>
          <w:rFonts w:ascii="Arial" w:hAnsi="Arial" w:cs="Arial"/>
        </w:rPr>
      </w:pPr>
      <w:bookmarkStart w:id="14" w:name="appendix"/>
      <w:r w:rsidRPr="0003219D">
        <w:rPr>
          <w:rFonts w:ascii="Arial" w:hAnsi="Arial" w:cs="Arial"/>
        </w:rPr>
        <w:t>Appendix</w:t>
      </w:r>
    </w:p>
    <w:p w14:paraId="2A3E90D2" w14:textId="77777777" w:rsidR="00EC73D7" w:rsidRPr="0003219D" w:rsidRDefault="00000000">
      <w:pPr>
        <w:pStyle w:val="FirstParagraph"/>
        <w:rPr>
          <w:rFonts w:ascii="Arial" w:hAnsi="Arial" w:cs="Arial"/>
        </w:rPr>
      </w:pPr>
      <w:r w:rsidRPr="0003219D">
        <w:rPr>
          <w:rFonts w:ascii="Arial" w:hAnsi="Arial" w:cs="Arial"/>
        </w:rPr>
        <w:t>Use this space to add any organization</w:t>
      </w:r>
      <w:r w:rsidRPr="0003219D">
        <w:rPr>
          <w:rFonts w:ascii="Cambria Math" w:hAnsi="Cambria Math" w:cs="Cambria Math"/>
        </w:rPr>
        <w:t>‑</w:t>
      </w:r>
      <w:r w:rsidRPr="0003219D">
        <w:rPr>
          <w:rFonts w:ascii="Arial" w:hAnsi="Arial" w:cs="Arial"/>
        </w:rPr>
        <w:t>specific scenarios, exceptions or measurement criteria that vendors should address in their responses.</w:t>
      </w:r>
      <w:bookmarkEnd w:id="13"/>
      <w:bookmarkEnd w:id="14"/>
    </w:p>
    <w:sectPr w:rsidR="00EC73D7" w:rsidRPr="0003219D" w:rsidSect="00B9708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521F3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25A26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A8A7376"/>
    <w:multiLevelType w:val="hybridMultilevel"/>
    <w:tmpl w:val="744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943499">
    <w:abstractNumId w:val="0"/>
  </w:num>
  <w:num w:numId="2" w16cid:durableId="1139765768">
    <w:abstractNumId w:val="1"/>
  </w:num>
  <w:num w:numId="3" w16cid:durableId="1061640125">
    <w:abstractNumId w:val="1"/>
  </w:num>
  <w:num w:numId="4" w16cid:durableId="13673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D7"/>
    <w:rsid w:val="0003219D"/>
    <w:rsid w:val="000347CA"/>
    <w:rsid w:val="001F11E8"/>
    <w:rsid w:val="004A7F74"/>
    <w:rsid w:val="004D18C8"/>
    <w:rsid w:val="004E7CA8"/>
    <w:rsid w:val="005411DD"/>
    <w:rsid w:val="006C07F8"/>
    <w:rsid w:val="00741D90"/>
    <w:rsid w:val="00784406"/>
    <w:rsid w:val="00835036"/>
    <w:rsid w:val="00975D43"/>
    <w:rsid w:val="009D0E82"/>
    <w:rsid w:val="009F1AFF"/>
    <w:rsid w:val="00AC6F16"/>
    <w:rsid w:val="00B442B8"/>
    <w:rsid w:val="00B553E6"/>
    <w:rsid w:val="00B7364B"/>
    <w:rsid w:val="00B9708E"/>
    <w:rsid w:val="00DE1097"/>
    <w:rsid w:val="00EC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5018"/>
  <w15:docId w15:val="{94072E99-815D-E149-8A27-BB311B94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3322</Words>
  <Characters>18938</Characters>
  <Application>Microsoft Office Word</Application>
  <DocSecurity>0</DocSecurity>
  <Lines>157</Lines>
  <Paragraphs>44</Paragraphs>
  <ScaleCrop>false</ScaleCrop>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Cabral</dc:creator>
  <cp:keywords/>
  <cp:lastModifiedBy>Tabatha Buessing</cp:lastModifiedBy>
  <cp:revision>5</cp:revision>
  <cp:lastPrinted>2025-10-02T20:53:00Z</cp:lastPrinted>
  <dcterms:created xsi:type="dcterms:W3CDTF">2025-10-02T20:53:00Z</dcterms:created>
  <dcterms:modified xsi:type="dcterms:W3CDTF">2025-10-15T19:51:00Z</dcterms:modified>
</cp:coreProperties>
</file>