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2A05" w14:textId="3BB1E018" w:rsidR="00EC73D7" w:rsidRPr="00466086" w:rsidRDefault="0070337F">
      <w:pPr>
        <w:pStyle w:val="Heading1"/>
        <w:rPr>
          <w:rFonts w:ascii="Arial" w:hAnsi="Arial" w:cs="Arial"/>
        </w:rPr>
      </w:pPr>
      <w:bookmarkStart w:id="0" w:name="billing-rfp-criteria-requirements-guide"/>
      <w:commentRangeStart w:id="1"/>
      <w:r w:rsidRPr="00466086">
        <w:rPr>
          <w:rFonts w:ascii="Arial" w:hAnsi="Arial" w:cs="Arial"/>
        </w:rPr>
        <w:t>AP</w:t>
      </w:r>
      <w:commentRangeEnd w:id="1"/>
      <w:r w:rsidRPr="00466086">
        <w:rPr>
          <w:rStyle w:val="CommentReference"/>
          <w:rFonts w:ascii="Arial" w:eastAsiaTheme="minorHAnsi" w:hAnsi="Arial" w:cs="Arial"/>
          <w:color w:val="auto"/>
        </w:rPr>
        <w:commentReference w:id="1"/>
      </w:r>
      <w:r w:rsidRPr="00466086">
        <w:rPr>
          <w:rFonts w:ascii="Arial" w:hAnsi="Arial" w:cs="Arial"/>
        </w:rPr>
        <w:t xml:space="preserve"> </w:t>
      </w:r>
      <w:proofErr w:type="spellStart"/>
      <w:r w:rsidRPr="00466086">
        <w:rPr>
          <w:rFonts w:ascii="Arial" w:hAnsi="Arial" w:cs="Arial"/>
        </w:rPr>
        <w:t>automation RFP criteria</w:t>
      </w:r>
      <w:proofErr w:type="spellEnd"/>
      <w:r w:rsidRPr="00466086">
        <w:rPr>
          <w:rFonts w:ascii="Arial" w:hAnsi="Arial" w:cs="Arial"/>
        </w:rPr>
        <w:t xml:space="preserve"> &amp; requirements guide</w:t>
      </w:r>
    </w:p>
    <w:p w14:paraId="1FC4CFE5" w14:textId="65F01DC3" w:rsidR="00EC73D7" w:rsidRPr="00466086" w:rsidRDefault="00000000">
      <w:pPr>
        <w:pStyle w:val="FirstParagraph"/>
        <w:rPr>
          <w:rFonts w:ascii="Arial" w:hAnsi="Arial" w:cs="Arial"/>
          <w:i/>
          <w:iCs/>
        </w:rPr>
      </w:pPr>
      <w:r w:rsidRPr="00466086">
        <w:rPr>
          <w:rFonts w:ascii="Arial" w:hAnsi="Arial" w:cs="Arial"/>
          <w:i/>
          <w:iCs/>
        </w:rPr>
        <w:t xml:space="preserve">An internal </w:t>
      </w:r>
      <w:r w:rsidR="00B442B8" w:rsidRPr="00466086">
        <w:rPr>
          <w:rFonts w:ascii="Arial" w:hAnsi="Arial" w:cs="Arial"/>
          <w:i/>
          <w:iCs/>
        </w:rPr>
        <w:t>tool</w:t>
      </w:r>
      <w:r w:rsidRPr="00466086">
        <w:rPr>
          <w:rFonts w:ascii="Arial" w:hAnsi="Arial" w:cs="Arial"/>
          <w:i/>
          <w:iCs/>
        </w:rPr>
        <w:t xml:space="preserve"> for evaluating </w:t>
      </w:r>
      <w:r w:rsidR="0070337F" w:rsidRPr="00466086">
        <w:rPr>
          <w:rFonts w:ascii="Arial" w:hAnsi="Arial" w:cs="Arial"/>
          <w:i/>
          <w:iCs/>
        </w:rPr>
        <w:t>automated invoice processing solutions for NetSuite</w:t>
      </w:r>
    </w:p>
    <w:p w14:paraId="5C684201" w14:textId="77777777" w:rsidR="00EC73D7" w:rsidRPr="00466086" w:rsidRDefault="00000000">
      <w:pPr>
        <w:pStyle w:val="Heading2"/>
        <w:rPr>
          <w:rFonts w:ascii="Arial" w:hAnsi="Arial" w:cs="Arial"/>
        </w:rPr>
      </w:pPr>
      <w:bookmarkStart w:id="2" w:name="document-purpose"/>
      <w:r w:rsidRPr="00466086">
        <w:rPr>
          <w:rFonts w:ascii="Arial" w:hAnsi="Arial" w:cs="Arial"/>
        </w:rPr>
        <w:t>Document purpose</w:t>
      </w:r>
    </w:p>
    <w:p w14:paraId="59DB9EBC" w14:textId="0E76220B" w:rsidR="0070337F" w:rsidRPr="00466086" w:rsidRDefault="0070337F">
      <w:pPr>
        <w:pStyle w:val="Heading2"/>
        <w:rPr>
          <w:rFonts w:ascii="Arial" w:eastAsiaTheme="minorHAnsi" w:hAnsi="Arial" w:cs="Arial"/>
          <w:color w:val="auto"/>
          <w:sz w:val="24"/>
          <w:szCs w:val="24"/>
        </w:rPr>
      </w:pPr>
      <w:bookmarkStart w:id="3" w:name="scope-of-this-document"/>
      <w:bookmarkEnd w:id="2"/>
      <w:r w:rsidRPr="00466086">
        <w:rPr>
          <w:rFonts w:ascii="Arial" w:eastAsiaTheme="minorHAnsi" w:hAnsi="Arial" w:cs="Arial"/>
          <w:color w:val="auto"/>
          <w:sz w:val="24"/>
          <w:szCs w:val="24"/>
        </w:rPr>
        <w:t>This document helps internal teams define and document their requirements for an AP automation solution in a NetSuite environment. It outlines common use cases for invoice capture and processing, and it includes decision criteria and technical considerations that teams often miss – or don’t define clearly enough.</w:t>
      </w:r>
    </w:p>
    <w:p w14:paraId="3CC825EC" w14:textId="1EE888FA" w:rsidR="00EC73D7" w:rsidRPr="00466086" w:rsidRDefault="0070337F">
      <w:pPr>
        <w:pStyle w:val="Heading2"/>
        <w:rPr>
          <w:rFonts w:ascii="Arial" w:hAnsi="Arial" w:cs="Arial"/>
        </w:rPr>
      </w:pPr>
      <w:r w:rsidRPr="00466086">
        <w:rPr>
          <w:rFonts w:ascii="Arial" w:eastAsiaTheme="minorHAnsi" w:hAnsi="Arial" w:cs="Arial"/>
          <w:color w:val="auto"/>
          <w:sz w:val="24"/>
          <w:szCs w:val="24"/>
        </w:rPr>
        <w:br/>
      </w:r>
      <w:r w:rsidRPr="00466086">
        <w:rPr>
          <w:rFonts w:ascii="Arial" w:hAnsi="Arial" w:cs="Arial"/>
        </w:rPr>
        <w:t>Scope of this document</w:t>
      </w:r>
    </w:p>
    <w:p w14:paraId="621134C1" w14:textId="1A967439" w:rsidR="0070337F" w:rsidRPr="00466086" w:rsidRDefault="0070337F" w:rsidP="0070337F">
      <w:pPr>
        <w:pStyle w:val="Heading2"/>
        <w:rPr>
          <w:rFonts w:ascii="Arial" w:eastAsiaTheme="minorHAnsi" w:hAnsi="Arial" w:cs="Arial"/>
          <w:color w:val="auto"/>
          <w:sz w:val="24"/>
          <w:szCs w:val="24"/>
        </w:rPr>
      </w:pPr>
      <w:r w:rsidRPr="00466086">
        <w:rPr>
          <w:rFonts w:ascii="Arial" w:eastAsiaTheme="minorHAnsi" w:hAnsi="Arial" w:cs="Arial"/>
          <w:color w:val="auto"/>
          <w:sz w:val="24"/>
          <w:szCs w:val="24"/>
        </w:rPr>
        <w:t xml:space="preserve">This document includes requirements relevant to </w:t>
      </w:r>
      <w:r w:rsidR="00466086">
        <w:rPr>
          <w:rFonts w:ascii="Arial" w:eastAsiaTheme="minorHAnsi" w:hAnsi="Arial" w:cs="Arial"/>
          <w:color w:val="auto"/>
          <w:sz w:val="24"/>
          <w:szCs w:val="24"/>
        </w:rPr>
        <w:t>invoice</w:t>
      </w:r>
      <w:r w:rsidRPr="00466086">
        <w:rPr>
          <w:rFonts w:ascii="Arial" w:eastAsiaTheme="minorHAnsi" w:hAnsi="Arial" w:cs="Arial"/>
          <w:color w:val="auto"/>
          <w:sz w:val="24"/>
          <w:szCs w:val="24"/>
        </w:rPr>
        <w:t xml:space="preserve"> capture </w:t>
      </w:r>
      <w:r w:rsidR="00466086">
        <w:rPr>
          <w:rFonts w:ascii="Arial" w:eastAsiaTheme="minorHAnsi" w:hAnsi="Arial" w:cs="Arial"/>
          <w:color w:val="auto"/>
          <w:sz w:val="24"/>
          <w:szCs w:val="24"/>
        </w:rPr>
        <w:t xml:space="preserve">and processing </w:t>
      </w:r>
      <w:r w:rsidRPr="00466086">
        <w:rPr>
          <w:rFonts w:ascii="Arial" w:eastAsiaTheme="minorHAnsi" w:hAnsi="Arial" w:cs="Arial"/>
          <w:color w:val="auto"/>
          <w:sz w:val="24"/>
          <w:szCs w:val="24"/>
        </w:rPr>
        <w:t>scenarios in NetSuite, including:</w:t>
      </w:r>
    </w:p>
    <w:p w14:paraId="072F404B"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Invoice intake across common document types and real-world invoice variation</w:t>
      </w:r>
    </w:p>
    <w:p w14:paraId="3AC225DC"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OCR and AI data extraction for header and line detail</w:t>
      </w:r>
    </w:p>
    <w:p w14:paraId="45332DA2"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Field mapping to NetSuite structures, including custom fields and segments</w:t>
      </w:r>
    </w:p>
    <w:p w14:paraId="576A68FB"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PO matching support and common exception scenarios tied to bill creation</w:t>
      </w:r>
    </w:p>
    <w:p w14:paraId="284A49D0"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Duplicate risk controls at ingestion</w:t>
      </w:r>
    </w:p>
    <w:p w14:paraId="44FE883B" w14:textId="0C6BA165" w:rsidR="0070337F" w:rsidRPr="0070337F" w:rsidRDefault="0070337F" w:rsidP="0070337F">
      <w:pPr>
        <w:pStyle w:val="BodyText"/>
        <w:numPr>
          <w:ilvl w:val="0"/>
          <w:numId w:val="5"/>
        </w:numPr>
        <w:rPr>
          <w:rFonts w:ascii="Arial" w:hAnsi="Arial" w:cs="Arial"/>
        </w:rPr>
      </w:pPr>
      <w:r w:rsidRPr="0070337F">
        <w:rPr>
          <w:rFonts w:ascii="Arial" w:hAnsi="Arial" w:cs="Arial"/>
        </w:rPr>
        <w:t xml:space="preserve">Global readiness </w:t>
      </w:r>
      <w:r w:rsidR="00466086">
        <w:rPr>
          <w:rFonts w:ascii="Arial" w:hAnsi="Arial" w:cs="Arial"/>
        </w:rPr>
        <w:t>factors</w:t>
      </w:r>
      <w:r w:rsidRPr="0070337F">
        <w:rPr>
          <w:rFonts w:ascii="Arial" w:hAnsi="Arial" w:cs="Arial"/>
        </w:rPr>
        <w:t xml:space="preserve"> such as currency, language and e-invoicing needs</w:t>
      </w:r>
    </w:p>
    <w:p w14:paraId="73BD06D6" w14:textId="77777777" w:rsidR="0070337F" w:rsidRPr="0070337F" w:rsidRDefault="0070337F" w:rsidP="0070337F">
      <w:pPr>
        <w:pStyle w:val="BodyText"/>
        <w:numPr>
          <w:ilvl w:val="0"/>
          <w:numId w:val="5"/>
        </w:numPr>
        <w:rPr>
          <w:rFonts w:ascii="Arial" w:hAnsi="Arial" w:cs="Arial"/>
        </w:rPr>
      </w:pPr>
      <w:r w:rsidRPr="0070337F">
        <w:rPr>
          <w:rFonts w:ascii="Arial" w:hAnsi="Arial" w:cs="Arial"/>
        </w:rPr>
        <w:t>Vendor submission models that affect intake consistency</w:t>
      </w:r>
    </w:p>
    <w:p w14:paraId="128651BC" w14:textId="37E395EB" w:rsidR="0070337F" w:rsidRPr="0070337F" w:rsidRDefault="00466086" w:rsidP="0070337F">
      <w:pPr>
        <w:pStyle w:val="BodyText"/>
        <w:numPr>
          <w:ilvl w:val="0"/>
          <w:numId w:val="5"/>
        </w:numPr>
        <w:rPr>
          <w:rFonts w:ascii="Arial" w:hAnsi="Arial" w:cs="Arial"/>
        </w:rPr>
      </w:pPr>
      <w:r>
        <w:rPr>
          <w:rFonts w:ascii="Arial" w:hAnsi="Arial" w:cs="Arial"/>
        </w:rPr>
        <w:t>Payment execution capabilities</w:t>
      </w:r>
      <w:r w:rsidR="0070337F" w:rsidRPr="0070337F">
        <w:rPr>
          <w:rFonts w:ascii="Arial" w:hAnsi="Arial" w:cs="Arial"/>
        </w:rPr>
        <w:t xml:space="preserve"> inside NetSuite</w:t>
      </w:r>
    </w:p>
    <w:p w14:paraId="45FA5816" w14:textId="4F7A94D6" w:rsidR="0070337F" w:rsidRPr="0070337F" w:rsidRDefault="0070337F" w:rsidP="0070337F">
      <w:pPr>
        <w:pStyle w:val="BodyText"/>
        <w:numPr>
          <w:ilvl w:val="0"/>
          <w:numId w:val="5"/>
        </w:numPr>
        <w:rPr>
          <w:rFonts w:ascii="Arial" w:hAnsi="Arial" w:cs="Arial"/>
        </w:rPr>
      </w:pPr>
      <w:r w:rsidRPr="0070337F">
        <w:rPr>
          <w:rFonts w:ascii="Arial" w:hAnsi="Arial" w:cs="Arial"/>
        </w:rPr>
        <w:t xml:space="preserve">Licensing and support model terms that </w:t>
      </w:r>
      <w:r w:rsidR="00466086">
        <w:rPr>
          <w:rFonts w:ascii="Arial" w:hAnsi="Arial" w:cs="Arial"/>
        </w:rPr>
        <w:t>impact long-term costs</w:t>
      </w:r>
    </w:p>
    <w:p w14:paraId="3B132367" w14:textId="2AD48FF0" w:rsidR="00EC73D7" w:rsidRPr="00466086" w:rsidRDefault="009D0E82">
      <w:pPr>
        <w:pStyle w:val="BodyText"/>
        <w:rPr>
          <w:rFonts w:ascii="Arial" w:hAnsi="Arial" w:cs="Arial"/>
        </w:rPr>
      </w:pPr>
      <w:r w:rsidRPr="00466086">
        <w:rPr>
          <w:rFonts w:ascii="Arial" w:hAnsi="Arial" w:cs="Arial"/>
        </w:rPr>
        <w:t>It does not define implementation methodologies, resourcing needs or project timelines. Those considerations should be addressed separately once a preferred solution is selected.</w:t>
      </w:r>
    </w:p>
    <w:p w14:paraId="6841FD42" w14:textId="77777777" w:rsidR="00EC73D7" w:rsidRPr="00466086" w:rsidRDefault="00000000">
      <w:pPr>
        <w:pStyle w:val="Heading2"/>
        <w:rPr>
          <w:rFonts w:ascii="Arial" w:hAnsi="Arial" w:cs="Arial"/>
        </w:rPr>
      </w:pPr>
      <w:bookmarkStart w:id="4" w:name="intended-audience"/>
      <w:bookmarkEnd w:id="3"/>
      <w:r w:rsidRPr="00466086">
        <w:rPr>
          <w:rFonts w:ascii="Arial" w:hAnsi="Arial" w:cs="Arial"/>
        </w:rPr>
        <w:t>Intended audience</w:t>
      </w:r>
    </w:p>
    <w:p w14:paraId="0FB6A332" w14:textId="7E17591A" w:rsidR="0070337F" w:rsidRPr="00466086" w:rsidRDefault="0070337F" w:rsidP="0070337F">
      <w:pPr>
        <w:pStyle w:val="BodyText"/>
        <w:numPr>
          <w:ilvl w:val="0"/>
          <w:numId w:val="5"/>
        </w:numPr>
        <w:rPr>
          <w:rFonts w:ascii="Arial" w:hAnsi="Arial" w:cs="Arial"/>
        </w:rPr>
      </w:pPr>
      <w:bookmarkStart w:id="5" w:name="how-to-use-this-document"/>
      <w:bookmarkEnd w:id="4"/>
      <w:r w:rsidRPr="00466086">
        <w:rPr>
          <w:rFonts w:ascii="Arial" w:hAnsi="Arial" w:cs="Arial"/>
        </w:rPr>
        <w:t>Finance and accounting leadership</w:t>
      </w:r>
    </w:p>
    <w:p w14:paraId="07020749" w14:textId="77777777" w:rsidR="0070337F" w:rsidRPr="00466086" w:rsidRDefault="0070337F" w:rsidP="0070337F">
      <w:pPr>
        <w:pStyle w:val="BodyText"/>
        <w:numPr>
          <w:ilvl w:val="0"/>
          <w:numId w:val="5"/>
        </w:numPr>
        <w:rPr>
          <w:rFonts w:ascii="Arial" w:hAnsi="Arial" w:cs="Arial"/>
        </w:rPr>
      </w:pPr>
      <w:r w:rsidRPr="00466086">
        <w:rPr>
          <w:rFonts w:ascii="Arial" w:hAnsi="Arial" w:cs="Arial"/>
        </w:rPr>
        <w:t>Accounts payable process owners</w:t>
      </w:r>
    </w:p>
    <w:p w14:paraId="47C72C68" w14:textId="77777777" w:rsidR="0070337F" w:rsidRPr="00466086" w:rsidRDefault="0070337F" w:rsidP="0070337F">
      <w:pPr>
        <w:pStyle w:val="BodyText"/>
        <w:numPr>
          <w:ilvl w:val="0"/>
          <w:numId w:val="5"/>
        </w:numPr>
        <w:rPr>
          <w:rFonts w:ascii="Arial" w:hAnsi="Arial" w:cs="Arial"/>
        </w:rPr>
      </w:pPr>
      <w:r w:rsidRPr="00466086">
        <w:rPr>
          <w:rFonts w:ascii="Arial" w:hAnsi="Arial" w:cs="Arial"/>
        </w:rPr>
        <w:t>IT or systems teams responsible for NetSuite administration and integrations</w:t>
      </w:r>
    </w:p>
    <w:p w14:paraId="060161F3" w14:textId="77777777" w:rsidR="0070337F" w:rsidRPr="00466086" w:rsidRDefault="0070337F" w:rsidP="0070337F">
      <w:pPr>
        <w:pStyle w:val="BodyText"/>
        <w:numPr>
          <w:ilvl w:val="0"/>
          <w:numId w:val="5"/>
        </w:numPr>
        <w:rPr>
          <w:rFonts w:ascii="Arial" w:hAnsi="Arial" w:cs="Arial"/>
        </w:rPr>
      </w:pPr>
      <w:r w:rsidRPr="00466086">
        <w:rPr>
          <w:rFonts w:ascii="Arial" w:hAnsi="Arial" w:cs="Arial"/>
        </w:rPr>
        <w:t>Procurement or vendor management stakeholders</w:t>
      </w:r>
    </w:p>
    <w:p w14:paraId="25730D9C" w14:textId="4981720E" w:rsidR="0070337F" w:rsidRPr="00466086" w:rsidRDefault="0070337F" w:rsidP="0070337F">
      <w:pPr>
        <w:pStyle w:val="BodyText"/>
        <w:numPr>
          <w:ilvl w:val="0"/>
          <w:numId w:val="5"/>
        </w:numPr>
        <w:rPr>
          <w:rFonts w:ascii="Arial" w:hAnsi="Arial" w:cs="Arial"/>
        </w:rPr>
      </w:pPr>
      <w:r w:rsidRPr="00466086">
        <w:rPr>
          <w:rFonts w:ascii="Arial" w:hAnsi="Arial" w:cs="Arial"/>
        </w:rPr>
        <w:t>External consultants supporting technology selection or implementation</w:t>
      </w:r>
    </w:p>
    <w:p w14:paraId="60BFF22F" w14:textId="77777777" w:rsidR="0070337F" w:rsidRPr="00466086" w:rsidRDefault="0070337F">
      <w:pPr>
        <w:pStyle w:val="Heading2"/>
        <w:rPr>
          <w:rFonts w:ascii="Arial" w:eastAsiaTheme="minorHAnsi" w:hAnsi="Arial" w:cs="Arial"/>
          <w:color w:val="auto"/>
          <w:sz w:val="24"/>
          <w:szCs w:val="24"/>
        </w:rPr>
      </w:pPr>
    </w:p>
    <w:p w14:paraId="7986A882" w14:textId="49DDE5A6" w:rsidR="00EC73D7" w:rsidRPr="00466086" w:rsidRDefault="00000000">
      <w:pPr>
        <w:pStyle w:val="Heading2"/>
        <w:rPr>
          <w:rFonts w:ascii="Arial" w:hAnsi="Arial" w:cs="Arial"/>
        </w:rPr>
      </w:pPr>
      <w:r w:rsidRPr="00466086">
        <w:rPr>
          <w:rFonts w:ascii="Arial" w:hAnsi="Arial" w:cs="Arial"/>
        </w:rPr>
        <w:t>How to use this document</w:t>
      </w:r>
    </w:p>
    <w:p w14:paraId="5A78F9CE" w14:textId="09BF6DBB" w:rsidR="009D0E82" w:rsidRPr="00466086" w:rsidRDefault="00000000" w:rsidP="00466086">
      <w:pPr>
        <w:pStyle w:val="BodyText"/>
        <w:ind w:left="360"/>
        <w:rPr>
          <w:rFonts w:ascii="Arial" w:hAnsi="Arial" w:cs="Arial"/>
        </w:rPr>
      </w:pPr>
      <w:r w:rsidRPr="00466086">
        <w:rPr>
          <w:rFonts w:ascii="Arial" w:hAnsi="Arial" w:cs="Arial"/>
        </w:rPr>
        <w:t xml:space="preserve">The content is organized by </w:t>
      </w:r>
      <w:r w:rsidR="0070337F" w:rsidRPr="00466086">
        <w:rPr>
          <w:rFonts w:ascii="Arial" w:hAnsi="Arial" w:cs="Arial"/>
        </w:rPr>
        <w:t>AP automation</w:t>
      </w:r>
      <w:r w:rsidRPr="00466086">
        <w:rPr>
          <w:rFonts w:ascii="Arial" w:hAnsi="Arial" w:cs="Arial"/>
        </w:rPr>
        <w:t xml:space="preserve"> capability area. Each section includes: </w:t>
      </w:r>
    </w:p>
    <w:p w14:paraId="5C67B92F" w14:textId="42159DC4" w:rsidR="0070337F" w:rsidRPr="00466086" w:rsidRDefault="0070337F" w:rsidP="0070337F">
      <w:pPr>
        <w:pStyle w:val="BodyText"/>
        <w:numPr>
          <w:ilvl w:val="0"/>
          <w:numId w:val="5"/>
        </w:numPr>
        <w:rPr>
          <w:rFonts w:ascii="Arial" w:hAnsi="Arial" w:cs="Arial"/>
        </w:rPr>
      </w:pPr>
      <w:r w:rsidRPr="00466086">
        <w:rPr>
          <w:rFonts w:ascii="Arial" w:hAnsi="Arial" w:cs="Arial"/>
        </w:rPr>
        <w:t>A brief overview highlighting the capability and why it matters</w:t>
      </w:r>
    </w:p>
    <w:p w14:paraId="2E2C0936" w14:textId="77777777" w:rsidR="0070337F" w:rsidRPr="00466086" w:rsidRDefault="0070337F" w:rsidP="0070337F">
      <w:pPr>
        <w:pStyle w:val="BodyText"/>
        <w:numPr>
          <w:ilvl w:val="0"/>
          <w:numId w:val="5"/>
        </w:numPr>
        <w:rPr>
          <w:rFonts w:ascii="Arial" w:hAnsi="Arial" w:cs="Arial"/>
        </w:rPr>
      </w:pPr>
      <w:r w:rsidRPr="00466086">
        <w:rPr>
          <w:rFonts w:ascii="Arial" w:hAnsi="Arial" w:cs="Arial"/>
        </w:rPr>
        <w:t>Functional requirements written in plain, operational language</w:t>
      </w:r>
    </w:p>
    <w:p w14:paraId="0ECC21F9" w14:textId="77777777" w:rsidR="0070337F" w:rsidRPr="00466086" w:rsidRDefault="0070337F" w:rsidP="0070337F">
      <w:pPr>
        <w:pStyle w:val="BodyText"/>
        <w:numPr>
          <w:ilvl w:val="0"/>
          <w:numId w:val="5"/>
        </w:numPr>
        <w:rPr>
          <w:rFonts w:ascii="Arial" w:hAnsi="Arial" w:cs="Arial"/>
        </w:rPr>
      </w:pPr>
      <w:r w:rsidRPr="00466086">
        <w:rPr>
          <w:rFonts w:ascii="Arial" w:hAnsi="Arial" w:cs="Arial"/>
        </w:rPr>
        <w:t>Considerations that may require validation during vendor evaluation</w:t>
      </w:r>
    </w:p>
    <w:p w14:paraId="5C452D6A" w14:textId="77777777" w:rsidR="0070337F" w:rsidRPr="00466086" w:rsidRDefault="0070337F" w:rsidP="0070337F">
      <w:pPr>
        <w:pStyle w:val="BodyText"/>
        <w:numPr>
          <w:ilvl w:val="0"/>
          <w:numId w:val="5"/>
        </w:numPr>
        <w:rPr>
          <w:rFonts w:ascii="Arial" w:hAnsi="Arial" w:cs="Arial"/>
        </w:rPr>
      </w:pPr>
      <w:r w:rsidRPr="00466086">
        <w:rPr>
          <w:rFonts w:ascii="Arial" w:hAnsi="Arial" w:cs="Arial"/>
          <w:shd w:val="clear" w:color="auto" w:fill="FFFFFF"/>
        </w:rPr>
        <w:t>An open field for a vendor response</w:t>
      </w:r>
    </w:p>
    <w:p w14:paraId="0A916422" w14:textId="77777777" w:rsidR="0070337F" w:rsidRPr="00466086" w:rsidRDefault="0070337F" w:rsidP="00835036">
      <w:pPr>
        <w:pStyle w:val="Heading2"/>
        <w:spacing w:after="240"/>
        <w:rPr>
          <w:rFonts w:ascii="Arial" w:eastAsiaTheme="minorHAnsi" w:hAnsi="Arial" w:cs="Arial"/>
          <w:color w:val="auto"/>
          <w:sz w:val="24"/>
          <w:szCs w:val="24"/>
        </w:rPr>
      </w:pPr>
      <w:bookmarkStart w:id="6" w:name="project-information"/>
      <w:bookmarkEnd w:id="5"/>
      <w:r w:rsidRPr="00466086">
        <w:rPr>
          <w:rFonts w:ascii="Arial" w:eastAsiaTheme="minorHAnsi" w:hAnsi="Arial" w:cs="Arial"/>
          <w:color w:val="auto"/>
          <w:sz w:val="24"/>
          <w:szCs w:val="24"/>
        </w:rPr>
        <w:t>This document can be used as a standalone business requirements guide or incorporated into a formal RFP process. Any topics or sections that are not applicable may be deleted or left blank. Vendor names and commercial language have been deliberately excluded.</w:t>
      </w:r>
    </w:p>
    <w:p w14:paraId="00C6FBA7" w14:textId="5DFE9470" w:rsidR="00EC73D7" w:rsidRPr="00466086" w:rsidRDefault="0070337F" w:rsidP="00835036">
      <w:pPr>
        <w:pStyle w:val="Heading2"/>
        <w:spacing w:after="240"/>
        <w:rPr>
          <w:rFonts w:ascii="Arial" w:hAnsi="Arial" w:cs="Arial"/>
        </w:rPr>
      </w:pPr>
      <w:r w:rsidRPr="00466086">
        <w:rPr>
          <w:rFonts w:ascii="Arial" w:hAnsi="Arial" w:cs="Arial"/>
        </w:rPr>
        <w:br/>
        <w:t>Project information</w:t>
      </w:r>
    </w:p>
    <w:p w14:paraId="583815C5" w14:textId="77777777" w:rsidR="00EC73D7" w:rsidRPr="00466086" w:rsidRDefault="00000000">
      <w:pPr>
        <w:pStyle w:val="Compact"/>
        <w:numPr>
          <w:ilvl w:val="0"/>
          <w:numId w:val="3"/>
        </w:numPr>
        <w:rPr>
          <w:rFonts w:ascii="Arial" w:hAnsi="Arial" w:cs="Arial"/>
        </w:rPr>
      </w:pPr>
      <w:r w:rsidRPr="00466086">
        <w:rPr>
          <w:rFonts w:ascii="Arial" w:hAnsi="Arial" w:cs="Arial"/>
        </w:rPr>
        <w:t>Prepared by [Insert team or department]</w:t>
      </w:r>
    </w:p>
    <w:p w14:paraId="7AA81814" w14:textId="77777777" w:rsidR="00EC73D7" w:rsidRPr="00466086" w:rsidRDefault="00000000">
      <w:pPr>
        <w:pStyle w:val="Compact"/>
        <w:numPr>
          <w:ilvl w:val="0"/>
          <w:numId w:val="3"/>
        </w:numPr>
        <w:rPr>
          <w:rFonts w:ascii="Arial" w:hAnsi="Arial" w:cs="Arial"/>
        </w:rPr>
      </w:pPr>
      <w:r w:rsidRPr="00466086">
        <w:rPr>
          <w:rFonts w:ascii="Arial" w:hAnsi="Arial" w:cs="Arial"/>
        </w:rPr>
        <w:t>Project name [e.g. Billing Transformation, QTC Modernization]</w:t>
      </w:r>
    </w:p>
    <w:p w14:paraId="1DB0BE97" w14:textId="77777777" w:rsidR="00EC73D7" w:rsidRPr="00466086" w:rsidRDefault="00000000">
      <w:pPr>
        <w:pStyle w:val="Compact"/>
        <w:numPr>
          <w:ilvl w:val="0"/>
          <w:numId w:val="3"/>
        </w:numPr>
        <w:rPr>
          <w:rFonts w:ascii="Arial" w:hAnsi="Arial" w:cs="Arial"/>
        </w:rPr>
      </w:pPr>
      <w:r w:rsidRPr="00466086">
        <w:rPr>
          <w:rFonts w:ascii="Arial" w:hAnsi="Arial" w:cs="Arial"/>
        </w:rPr>
        <w:t>Date [Insert date]</w:t>
      </w:r>
    </w:p>
    <w:p w14:paraId="208C5C22" w14:textId="77777777" w:rsidR="00EC73D7" w:rsidRPr="00466086" w:rsidRDefault="00000000">
      <w:pPr>
        <w:pStyle w:val="Compact"/>
        <w:numPr>
          <w:ilvl w:val="0"/>
          <w:numId w:val="3"/>
        </w:numPr>
        <w:rPr>
          <w:rFonts w:ascii="Arial" w:hAnsi="Arial" w:cs="Arial"/>
        </w:rPr>
      </w:pPr>
      <w:r w:rsidRPr="00466086">
        <w:rPr>
          <w:rFonts w:ascii="Arial" w:hAnsi="Arial" w:cs="Arial"/>
        </w:rPr>
        <w:t>Document version [e.g. v1.0]</w:t>
      </w:r>
    </w:p>
    <w:p w14:paraId="43B73D72" w14:textId="77777777" w:rsidR="00EC73D7" w:rsidRPr="00466086" w:rsidRDefault="00000000">
      <w:pPr>
        <w:pStyle w:val="Compact"/>
        <w:numPr>
          <w:ilvl w:val="0"/>
          <w:numId w:val="3"/>
        </w:numPr>
        <w:rPr>
          <w:rFonts w:ascii="Arial" w:hAnsi="Arial" w:cs="Arial"/>
        </w:rPr>
      </w:pPr>
      <w:r w:rsidRPr="00466086">
        <w:rPr>
          <w:rFonts w:ascii="Arial" w:hAnsi="Arial" w:cs="Arial"/>
        </w:rPr>
        <w:t>Stakeholders [Enter names and titles here]</w:t>
      </w:r>
    </w:p>
    <w:p w14:paraId="67BD27FC" w14:textId="77777777" w:rsidR="00EC73D7" w:rsidRPr="00466086" w:rsidRDefault="00000000">
      <w:pPr>
        <w:pStyle w:val="Compact"/>
        <w:numPr>
          <w:ilvl w:val="0"/>
          <w:numId w:val="3"/>
        </w:numPr>
        <w:rPr>
          <w:rFonts w:ascii="Arial" w:hAnsi="Arial" w:cs="Arial"/>
        </w:rPr>
      </w:pPr>
      <w:r w:rsidRPr="00466086">
        <w:rPr>
          <w:rFonts w:ascii="Arial" w:hAnsi="Arial" w:cs="Arial"/>
        </w:rPr>
        <w:t>Target implementation [e.g. Quarter and year]</w:t>
      </w:r>
    </w:p>
    <w:p w14:paraId="5EB3EC20" w14:textId="3D6D2F1A" w:rsidR="00EC73D7" w:rsidRPr="00466086" w:rsidRDefault="00EC73D7">
      <w:pPr>
        <w:rPr>
          <w:rFonts w:ascii="Arial" w:hAnsi="Arial" w:cs="Arial"/>
        </w:rPr>
      </w:pPr>
    </w:p>
    <w:p w14:paraId="377671F3" w14:textId="3BFF9C20" w:rsidR="00EC73D7" w:rsidRPr="00466086" w:rsidRDefault="00000000">
      <w:pPr>
        <w:pStyle w:val="Heading1"/>
        <w:rPr>
          <w:rFonts w:ascii="Arial" w:hAnsi="Arial" w:cs="Arial"/>
        </w:rPr>
      </w:pPr>
      <w:bookmarkStart w:id="7" w:name="section-1-general-requirements"/>
      <w:bookmarkEnd w:id="0"/>
      <w:bookmarkEnd w:id="6"/>
      <w:r w:rsidRPr="00466086">
        <w:rPr>
          <w:rFonts w:ascii="Arial" w:hAnsi="Arial" w:cs="Arial"/>
        </w:rPr>
        <w:t>Section 1: General requirements</w:t>
      </w:r>
      <w:r w:rsidR="0070337F" w:rsidRPr="00466086">
        <w:rPr>
          <w:rFonts w:ascii="Arial" w:hAnsi="Arial" w:cs="Arial"/>
        </w:rPr>
        <w:t xml:space="preserve"> and ERP fit</w:t>
      </w:r>
    </w:p>
    <w:p w14:paraId="55FE4773" w14:textId="223B3EBC" w:rsidR="00EC73D7" w:rsidRPr="00466086" w:rsidRDefault="0070337F" w:rsidP="0070337F">
      <w:pPr>
        <w:pStyle w:val="Heading2"/>
        <w:spacing w:after="240"/>
        <w:rPr>
          <w:rFonts w:ascii="Arial" w:eastAsiaTheme="minorHAnsi" w:hAnsi="Arial" w:cs="Arial"/>
          <w:color w:val="auto"/>
          <w:sz w:val="24"/>
          <w:szCs w:val="24"/>
        </w:rPr>
      </w:pPr>
      <w:r w:rsidRPr="00466086">
        <w:rPr>
          <w:rFonts w:ascii="Arial" w:eastAsiaTheme="minorHAnsi" w:hAnsi="Arial" w:cs="Arial"/>
          <w:color w:val="auto"/>
          <w:sz w:val="24"/>
          <w:szCs w:val="24"/>
        </w:rPr>
        <w:t xml:space="preserve">An AP automation solution becomes part of your NetSuite operating model. It either keeps the work in the </w:t>
      </w:r>
      <w:proofErr w:type="gramStart"/>
      <w:r w:rsidRPr="00466086">
        <w:rPr>
          <w:rFonts w:ascii="Arial" w:eastAsiaTheme="minorHAnsi" w:hAnsi="Arial" w:cs="Arial"/>
          <w:color w:val="auto"/>
          <w:sz w:val="24"/>
          <w:szCs w:val="24"/>
        </w:rPr>
        <w:t>ERP</w:t>
      </w:r>
      <w:proofErr w:type="gramEnd"/>
      <w:r w:rsidRPr="00466086">
        <w:rPr>
          <w:rFonts w:ascii="Arial" w:eastAsiaTheme="minorHAnsi" w:hAnsi="Arial" w:cs="Arial"/>
          <w:color w:val="auto"/>
          <w:sz w:val="24"/>
          <w:szCs w:val="24"/>
        </w:rPr>
        <w:t xml:space="preserve"> or it pulls people and data into a second system. That choice shows up later – in IT workload, during close and in how easily you can trace what happened on every bill, often sooner than expected.</w:t>
      </w:r>
      <w:r w:rsidRPr="00466086">
        <w:rPr>
          <w:rFonts w:ascii="Arial" w:eastAsiaTheme="minorHAnsi" w:hAnsi="Arial" w:cs="Arial"/>
          <w:color w:val="auto"/>
          <w:sz w:val="24"/>
          <w:szCs w:val="24"/>
        </w:rPr>
        <w:br/>
      </w:r>
      <w:r w:rsidRPr="00466086">
        <w:rPr>
          <w:rFonts w:ascii="Arial" w:eastAsiaTheme="minorHAnsi" w:hAnsi="Arial" w:cs="Arial"/>
          <w:color w:val="auto"/>
          <w:sz w:val="24"/>
          <w:szCs w:val="24"/>
        </w:rPr>
        <w:br/>
        <w:t>These requirements focus on keeping AP automation work anchored in NetSuite, so you spend less time maintaining integrations and more time moving invoices through.</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69"/>
        <w:gridCol w:w="2337"/>
        <w:gridCol w:w="3460"/>
        <w:gridCol w:w="2591"/>
      </w:tblGrid>
      <w:tr w:rsidR="00B9708E" w:rsidRPr="00466086" w14:paraId="023B5EDA" w14:textId="77777777" w:rsidTr="0070337F">
        <w:trPr>
          <w:cnfStyle w:val="100000000000" w:firstRow="1" w:lastRow="0" w:firstColumn="0" w:lastColumn="0" w:oddVBand="0" w:evenVBand="0" w:oddHBand="0" w:evenHBand="0" w:firstRowFirstColumn="0" w:firstRowLastColumn="0" w:lastRowFirstColumn="0" w:lastRowLastColumn="0"/>
          <w:tblHeader/>
        </w:trPr>
        <w:tc>
          <w:tcPr>
            <w:tcW w:w="769" w:type="dxa"/>
          </w:tcPr>
          <w:p w14:paraId="1707EE42" w14:textId="77777777" w:rsidR="00EC73D7" w:rsidRPr="00466086" w:rsidRDefault="00000000">
            <w:pPr>
              <w:pStyle w:val="Compact"/>
              <w:rPr>
                <w:rFonts w:ascii="Arial" w:hAnsi="Arial" w:cs="Arial"/>
              </w:rPr>
            </w:pPr>
            <w:r w:rsidRPr="00466086">
              <w:rPr>
                <w:rFonts w:ascii="Arial" w:hAnsi="Arial" w:cs="Arial"/>
              </w:rPr>
              <w:t>Ref</w:t>
            </w:r>
          </w:p>
        </w:tc>
        <w:tc>
          <w:tcPr>
            <w:tcW w:w="2337" w:type="dxa"/>
          </w:tcPr>
          <w:p w14:paraId="264C0789" w14:textId="77777777" w:rsidR="00EC73D7" w:rsidRPr="00466086" w:rsidRDefault="00000000">
            <w:pPr>
              <w:pStyle w:val="Compact"/>
              <w:rPr>
                <w:rFonts w:ascii="Arial" w:hAnsi="Arial" w:cs="Arial"/>
              </w:rPr>
            </w:pPr>
            <w:r w:rsidRPr="00466086">
              <w:rPr>
                <w:rFonts w:ascii="Arial" w:hAnsi="Arial" w:cs="Arial"/>
              </w:rPr>
              <w:t>Requirement</w:t>
            </w:r>
          </w:p>
        </w:tc>
        <w:tc>
          <w:tcPr>
            <w:tcW w:w="3460" w:type="dxa"/>
          </w:tcPr>
          <w:p w14:paraId="4DC9D707" w14:textId="77777777" w:rsidR="00EC73D7" w:rsidRPr="00466086" w:rsidRDefault="00000000">
            <w:pPr>
              <w:pStyle w:val="Compact"/>
              <w:rPr>
                <w:rFonts w:ascii="Arial" w:hAnsi="Arial" w:cs="Arial"/>
              </w:rPr>
            </w:pPr>
            <w:r w:rsidRPr="00466086">
              <w:rPr>
                <w:rFonts w:ascii="Arial" w:hAnsi="Arial" w:cs="Arial"/>
              </w:rPr>
              <w:t>Considerations</w:t>
            </w:r>
          </w:p>
        </w:tc>
        <w:tc>
          <w:tcPr>
            <w:tcW w:w="2591" w:type="dxa"/>
          </w:tcPr>
          <w:p w14:paraId="534B1397"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22560CA8" w14:textId="77777777" w:rsidTr="0070337F">
        <w:tc>
          <w:tcPr>
            <w:tcW w:w="769" w:type="dxa"/>
          </w:tcPr>
          <w:p w14:paraId="3AB28040" w14:textId="77777777" w:rsidR="00EC73D7" w:rsidRPr="00466086" w:rsidRDefault="00000000">
            <w:pPr>
              <w:pStyle w:val="Compact"/>
              <w:rPr>
                <w:rFonts w:ascii="Arial" w:hAnsi="Arial" w:cs="Arial"/>
              </w:rPr>
            </w:pPr>
            <w:r w:rsidRPr="00466086">
              <w:rPr>
                <w:rFonts w:ascii="Arial" w:hAnsi="Arial" w:cs="Arial"/>
              </w:rPr>
              <w:t>1.1</w:t>
            </w:r>
          </w:p>
        </w:tc>
        <w:tc>
          <w:tcPr>
            <w:tcW w:w="2337" w:type="dxa"/>
          </w:tcPr>
          <w:p w14:paraId="6CEEF3C9" w14:textId="60671320" w:rsidR="00EC73D7" w:rsidRPr="00466086" w:rsidRDefault="0070337F">
            <w:pPr>
              <w:pStyle w:val="Compact"/>
              <w:rPr>
                <w:rFonts w:ascii="Arial" w:hAnsi="Arial" w:cs="Arial"/>
              </w:rPr>
            </w:pPr>
            <w:r w:rsidRPr="00466086">
              <w:rPr>
                <w:rFonts w:ascii="Arial" w:hAnsi="Arial" w:cs="Arial"/>
              </w:rPr>
              <w:t>Runs natively inside NetSuite and reduces integration upkeep and sync failure exposure</w:t>
            </w:r>
          </w:p>
        </w:tc>
        <w:tc>
          <w:tcPr>
            <w:tcW w:w="3460" w:type="dxa"/>
          </w:tcPr>
          <w:p w14:paraId="260B6360" w14:textId="2BB8D41F" w:rsidR="00EC73D7" w:rsidRPr="00466086" w:rsidRDefault="0070337F">
            <w:pPr>
              <w:pStyle w:val="Compact"/>
              <w:rPr>
                <w:rFonts w:ascii="Arial" w:hAnsi="Arial" w:cs="Arial"/>
              </w:rPr>
            </w:pPr>
            <w:r w:rsidRPr="00466086">
              <w:rPr>
                <w:rFonts w:ascii="Arial" w:hAnsi="Arial" w:cs="Arial"/>
              </w:rPr>
              <w:t xml:space="preserve">When capture runs outside NetSuite, you may rely on middleware and sync jobs to keep systems aligned. That can mean extra work </w:t>
            </w:r>
            <w:r w:rsidRPr="00466086">
              <w:rPr>
                <w:rFonts w:ascii="Arial" w:hAnsi="Arial" w:cs="Arial"/>
              </w:rPr>
              <w:lastRenderedPageBreak/>
              <w:t>confirming what transferred, what failed and what still needs attention before a bill is ready in NetSuite. Confirm what integration components exist, who maintains them, how failures surface in NetSuite and what the recovery path looks like when documents or bill data do not sync cleanly.</w:t>
            </w:r>
          </w:p>
        </w:tc>
        <w:tc>
          <w:tcPr>
            <w:tcW w:w="2591" w:type="dxa"/>
          </w:tcPr>
          <w:p w14:paraId="1DF02F5F" w14:textId="77777777" w:rsidR="00EC73D7" w:rsidRPr="00466086" w:rsidRDefault="00EC73D7">
            <w:pPr>
              <w:pStyle w:val="Compact"/>
              <w:rPr>
                <w:rFonts w:ascii="Arial" w:hAnsi="Arial" w:cs="Arial"/>
              </w:rPr>
            </w:pPr>
          </w:p>
        </w:tc>
      </w:tr>
      <w:tr w:rsidR="00B9708E" w:rsidRPr="00466086" w14:paraId="11AC3C29" w14:textId="77777777" w:rsidTr="0070337F">
        <w:tc>
          <w:tcPr>
            <w:tcW w:w="769" w:type="dxa"/>
          </w:tcPr>
          <w:p w14:paraId="5A3044E6" w14:textId="77777777" w:rsidR="00EC73D7" w:rsidRPr="00466086" w:rsidRDefault="00000000">
            <w:pPr>
              <w:pStyle w:val="Compact"/>
              <w:rPr>
                <w:rFonts w:ascii="Arial" w:hAnsi="Arial" w:cs="Arial"/>
              </w:rPr>
            </w:pPr>
            <w:r w:rsidRPr="00466086">
              <w:rPr>
                <w:rFonts w:ascii="Arial" w:hAnsi="Arial" w:cs="Arial"/>
              </w:rPr>
              <w:t>1.2</w:t>
            </w:r>
          </w:p>
        </w:tc>
        <w:tc>
          <w:tcPr>
            <w:tcW w:w="2337" w:type="dxa"/>
          </w:tcPr>
          <w:p w14:paraId="08D00A6B" w14:textId="0677EE0F" w:rsidR="00EC73D7" w:rsidRPr="00466086" w:rsidRDefault="0070337F">
            <w:pPr>
              <w:pStyle w:val="Compact"/>
              <w:rPr>
                <w:rFonts w:ascii="Arial" w:hAnsi="Arial" w:cs="Arial"/>
              </w:rPr>
            </w:pPr>
            <w:r w:rsidRPr="00466086">
              <w:rPr>
                <w:rFonts w:ascii="Arial" w:hAnsi="Arial" w:cs="Arial"/>
                <w:shd w:val="clear" w:color="auto" w:fill="FFFFFF"/>
              </w:rPr>
              <w:t>Uses NetSuite as the system of record for capture-to-bill status</w:t>
            </w:r>
          </w:p>
        </w:tc>
        <w:tc>
          <w:tcPr>
            <w:tcW w:w="3460" w:type="dxa"/>
          </w:tcPr>
          <w:p w14:paraId="302C5CB3" w14:textId="042F655B" w:rsidR="00EC73D7" w:rsidRPr="00466086" w:rsidRDefault="0070337F">
            <w:pPr>
              <w:pStyle w:val="Compact"/>
              <w:rPr>
                <w:rFonts w:ascii="Arial" w:hAnsi="Arial" w:cs="Arial"/>
              </w:rPr>
            </w:pPr>
            <w:r w:rsidRPr="00466086">
              <w:rPr>
                <w:rFonts w:ascii="Arial" w:hAnsi="Arial" w:cs="Arial"/>
              </w:rPr>
              <w:t>If status lives in two places, teams can end up checking multiple screens to confirm whether an invoice was received, whether it is ready for review and whether the bill record reflects the latest corrections.</w:t>
            </w:r>
            <w:r w:rsidRPr="00466086">
              <w:rPr>
                <w:rFonts w:ascii="Arial" w:hAnsi="Arial" w:cs="Arial"/>
                <w:shd w:val="clear" w:color="auto" w:fill="FFFFFF"/>
              </w:rPr>
              <w:br/>
            </w:r>
          </w:p>
        </w:tc>
        <w:tc>
          <w:tcPr>
            <w:tcW w:w="2591" w:type="dxa"/>
          </w:tcPr>
          <w:p w14:paraId="30ED10DA" w14:textId="77777777" w:rsidR="00EC73D7" w:rsidRPr="00466086" w:rsidRDefault="00EC73D7">
            <w:pPr>
              <w:pStyle w:val="Compact"/>
              <w:rPr>
                <w:rFonts w:ascii="Arial" w:hAnsi="Arial" w:cs="Arial"/>
              </w:rPr>
            </w:pPr>
          </w:p>
        </w:tc>
      </w:tr>
      <w:tr w:rsidR="00B9708E" w:rsidRPr="00466086" w14:paraId="78D88565" w14:textId="77777777" w:rsidTr="0070337F">
        <w:tc>
          <w:tcPr>
            <w:tcW w:w="769" w:type="dxa"/>
          </w:tcPr>
          <w:p w14:paraId="178CB6E1" w14:textId="77777777" w:rsidR="00EC73D7" w:rsidRPr="00466086" w:rsidRDefault="00000000">
            <w:pPr>
              <w:pStyle w:val="Compact"/>
              <w:rPr>
                <w:rFonts w:ascii="Arial" w:hAnsi="Arial" w:cs="Arial"/>
              </w:rPr>
            </w:pPr>
            <w:r w:rsidRPr="00466086">
              <w:rPr>
                <w:rFonts w:ascii="Arial" w:hAnsi="Arial" w:cs="Arial"/>
              </w:rPr>
              <w:t>1.3</w:t>
            </w:r>
          </w:p>
        </w:tc>
        <w:tc>
          <w:tcPr>
            <w:tcW w:w="2337" w:type="dxa"/>
          </w:tcPr>
          <w:p w14:paraId="0C50A23E" w14:textId="4D809FE9" w:rsidR="00EC73D7" w:rsidRPr="00466086" w:rsidRDefault="0070337F">
            <w:pPr>
              <w:pStyle w:val="Compact"/>
              <w:rPr>
                <w:rFonts w:ascii="Arial" w:hAnsi="Arial" w:cs="Arial"/>
              </w:rPr>
            </w:pPr>
            <w:r w:rsidRPr="00466086">
              <w:rPr>
                <w:rFonts w:ascii="Arial" w:hAnsi="Arial" w:cs="Arial"/>
                <w:shd w:val="clear" w:color="auto" w:fill="FFFFFF"/>
              </w:rPr>
              <w:t>Avoids external portals for invoice capture work</w:t>
            </w:r>
          </w:p>
        </w:tc>
        <w:tc>
          <w:tcPr>
            <w:tcW w:w="3460" w:type="dxa"/>
          </w:tcPr>
          <w:p w14:paraId="0C6CE976" w14:textId="104389F1" w:rsidR="00EC73D7" w:rsidRPr="00466086" w:rsidRDefault="0070337F">
            <w:pPr>
              <w:pStyle w:val="Compact"/>
              <w:rPr>
                <w:rFonts w:ascii="Arial" w:hAnsi="Arial" w:cs="Arial"/>
              </w:rPr>
            </w:pPr>
            <w:r w:rsidRPr="00466086">
              <w:rPr>
                <w:rFonts w:ascii="Arial" w:hAnsi="Arial" w:cs="Arial"/>
                <w:shd w:val="clear" w:color="auto" w:fill="FFFFFF"/>
              </w:rPr>
              <w:t xml:space="preserve">External portals can lead to portal switching and split workflows, especially when intake, correction and exception handling live outside NetSuite. Missed handoffs can follow. </w:t>
            </w:r>
            <w:r w:rsidRPr="00466086">
              <w:rPr>
                <w:rFonts w:ascii="Arial" w:hAnsi="Arial" w:cs="Arial"/>
                <w:shd w:val="clear" w:color="auto" w:fill="FFFFFF"/>
              </w:rPr>
              <w:br/>
            </w:r>
          </w:p>
        </w:tc>
        <w:tc>
          <w:tcPr>
            <w:tcW w:w="2591" w:type="dxa"/>
          </w:tcPr>
          <w:p w14:paraId="49450B8A" w14:textId="77777777" w:rsidR="00EC73D7" w:rsidRPr="00466086" w:rsidRDefault="00EC73D7">
            <w:pPr>
              <w:pStyle w:val="Compact"/>
              <w:rPr>
                <w:rFonts w:ascii="Arial" w:hAnsi="Arial" w:cs="Arial"/>
              </w:rPr>
            </w:pPr>
          </w:p>
        </w:tc>
      </w:tr>
      <w:tr w:rsidR="00B9708E" w:rsidRPr="00466086" w14:paraId="4A1698B2" w14:textId="77777777" w:rsidTr="0070337F">
        <w:tc>
          <w:tcPr>
            <w:tcW w:w="769" w:type="dxa"/>
          </w:tcPr>
          <w:p w14:paraId="258272D9" w14:textId="77777777" w:rsidR="00EC73D7" w:rsidRPr="00466086" w:rsidRDefault="00000000">
            <w:pPr>
              <w:pStyle w:val="Compact"/>
              <w:rPr>
                <w:rFonts w:ascii="Arial" w:hAnsi="Arial" w:cs="Arial"/>
              </w:rPr>
            </w:pPr>
            <w:r w:rsidRPr="00466086">
              <w:rPr>
                <w:rFonts w:ascii="Arial" w:hAnsi="Arial" w:cs="Arial"/>
              </w:rPr>
              <w:t>1.4</w:t>
            </w:r>
          </w:p>
        </w:tc>
        <w:tc>
          <w:tcPr>
            <w:tcW w:w="2337" w:type="dxa"/>
          </w:tcPr>
          <w:p w14:paraId="187CABC0" w14:textId="4B024EB9" w:rsidR="00EC73D7" w:rsidRPr="00466086" w:rsidRDefault="0070337F">
            <w:pPr>
              <w:pStyle w:val="Compact"/>
              <w:rPr>
                <w:rFonts w:ascii="Arial" w:hAnsi="Arial" w:cs="Arial"/>
              </w:rPr>
            </w:pPr>
            <w:r w:rsidRPr="00466086">
              <w:rPr>
                <w:rFonts w:ascii="Arial" w:hAnsi="Arial" w:cs="Arial"/>
                <w:shd w:val="clear" w:color="auto" w:fill="FFFFFF"/>
              </w:rPr>
              <w:t>Preserves audit trail and document history on the NetSuite bill record</w:t>
            </w:r>
          </w:p>
        </w:tc>
        <w:tc>
          <w:tcPr>
            <w:tcW w:w="3460" w:type="dxa"/>
          </w:tcPr>
          <w:p w14:paraId="01D5B215" w14:textId="1119752C" w:rsidR="00EC73D7" w:rsidRPr="00466086" w:rsidRDefault="0070337F">
            <w:pPr>
              <w:pStyle w:val="Compact"/>
              <w:rPr>
                <w:rFonts w:ascii="Arial" w:hAnsi="Arial" w:cs="Arial"/>
              </w:rPr>
            </w:pPr>
            <w:r w:rsidRPr="00466086">
              <w:rPr>
                <w:rFonts w:ascii="Arial" w:hAnsi="Arial" w:cs="Arial"/>
                <w:shd w:val="clear" w:color="auto" w:fill="FFFFFF"/>
              </w:rPr>
              <w:t xml:space="preserve">When audit history is fragmented, teams may need to piece together what changed, when and by whom during close, controls testing or vendor disputes. Confirm what actions and history are written back to the NetSuite bill record. </w:t>
            </w:r>
          </w:p>
        </w:tc>
        <w:tc>
          <w:tcPr>
            <w:tcW w:w="2591" w:type="dxa"/>
          </w:tcPr>
          <w:p w14:paraId="7E1D6E1F" w14:textId="77777777" w:rsidR="00EC73D7" w:rsidRPr="00466086" w:rsidRDefault="00EC73D7">
            <w:pPr>
              <w:pStyle w:val="Compact"/>
              <w:rPr>
                <w:rFonts w:ascii="Arial" w:hAnsi="Arial" w:cs="Arial"/>
              </w:rPr>
            </w:pPr>
          </w:p>
        </w:tc>
      </w:tr>
      <w:tr w:rsidR="00B9708E" w:rsidRPr="00466086" w14:paraId="7312B848" w14:textId="77777777" w:rsidTr="0070337F">
        <w:tc>
          <w:tcPr>
            <w:tcW w:w="769" w:type="dxa"/>
          </w:tcPr>
          <w:p w14:paraId="5FECB1C3" w14:textId="77777777" w:rsidR="00EC73D7" w:rsidRPr="00466086" w:rsidRDefault="00000000">
            <w:pPr>
              <w:pStyle w:val="Compact"/>
              <w:rPr>
                <w:rFonts w:ascii="Arial" w:hAnsi="Arial" w:cs="Arial"/>
              </w:rPr>
            </w:pPr>
            <w:r w:rsidRPr="00466086">
              <w:rPr>
                <w:rFonts w:ascii="Arial" w:hAnsi="Arial" w:cs="Arial"/>
              </w:rPr>
              <w:t>1.5</w:t>
            </w:r>
          </w:p>
        </w:tc>
        <w:tc>
          <w:tcPr>
            <w:tcW w:w="2337" w:type="dxa"/>
          </w:tcPr>
          <w:p w14:paraId="166C8286" w14:textId="428B224B" w:rsidR="00EC73D7" w:rsidRPr="00466086" w:rsidRDefault="0070337F">
            <w:pPr>
              <w:pStyle w:val="Compact"/>
              <w:rPr>
                <w:rFonts w:ascii="Arial" w:hAnsi="Arial" w:cs="Arial"/>
              </w:rPr>
            </w:pPr>
            <w:r w:rsidRPr="00466086">
              <w:rPr>
                <w:rFonts w:ascii="Arial" w:hAnsi="Arial" w:cs="Arial"/>
                <w:shd w:val="clear" w:color="auto" w:fill="FFFFFF"/>
              </w:rPr>
              <w:t>Aligns to NetSuite’s data structure and release cadence</w:t>
            </w:r>
          </w:p>
        </w:tc>
        <w:tc>
          <w:tcPr>
            <w:tcW w:w="3460" w:type="dxa"/>
          </w:tcPr>
          <w:p w14:paraId="5BD80BBF" w14:textId="4FD2DD66" w:rsidR="00EC73D7" w:rsidRPr="00466086" w:rsidRDefault="0070337F">
            <w:pPr>
              <w:pStyle w:val="Compact"/>
              <w:rPr>
                <w:rFonts w:ascii="Arial" w:hAnsi="Arial" w:cs="Arial"/>
              </w:rPr>
            </w:pPr>
            <w:r w:rsidRPr="00466086">
              <w:rPr>
                <w:rFonts w:ascii="Arial" w:hAnsi="Arial" w:cs="Arial"/>
                <w:shd w:val="clear" w:color="auto" w:fill="FFFFFF"/>
              </w:rPr>
              <w:t xml:space="preserve">When a solution is built to support multiple ERPs, </w:t>
            </w:r>
            <w:r w:rsidRPr="00466086">
              <w:rPr>
                <w:rFonts w:ascii="Arial" w:hAnsi="Arial" w:cs="Arial"/>
              </w:rPr>
              <w:t xml:space="preserve">NetSuite-specific fields, segments and workflows can take extra configuration. Over time, adoption of new NetSuite functionality can </w:t>
            </w:r>
            <w:proofErr w:type="gramStart"/>
            <w:r w:rsidRPr="00466086">
              <w:rPr>
                <w:rFonts w:ascii="Arial" w:hAnsi="Arial" w:cs="Arial"/>
              </w:rPr>
              <w:t xml:space="preserve">lag </w:t>
            </w:r>
            <w:r w:rsidRPr="00466086">
              <w:rPr>
                <w:rFonts w:ascii="Arial" w:hAnsi="Arial" w:cs="Arial"/>
              </w:rPr>
              <w:lastRenderedPageBreak/>
              <w:t>behind</w:t>
            </w:r>
            <w:proofErr w:type="gramEnd"/>
            <w:r w:rsidRPr="00466086">
              <w:rPr>
                <w:rFonts w:ascii="Arial" w:hAnsi="Arial" w:cs="Arial"/>
              </w:rPr>
              <w:t xml:space="preserve"> NetSuite releases. Confirm how the vendor keeps its NetSuite support current and what ongoing admin effort that creates.</w:t>
            </w:r>
          </w:p>
        </w:tc>
        <w:tc>
          <w:tcPr>
            <w:tcW w:w="2591" w:type="dxa"/>
          </w:tcPr>
          <w:p w14:paraId="0A4779A7" w14:textId="77777777" w:rsidR="00EC73D7" w:rsidRPr="00466086" w:rsidRDefault="00EC73D7">
            <w:pPr>
              <w:pStyle w:val="Compact"/>
              <w:rPr>
                <w:rFonts w:ascii="Arial" w:hAnsi="Arial" w:cs="Arial"/>
              </w:rPr>
            </w:pPr>
          </w:p>
        </w:tc>
      </w:tr>
      <w:tr w:rsidR="00B9708E" w:rsidRPr="00466086" w14:paraId="0F2EE897" w14:textId="77777777" w:rsidTr="0070337F">
        <w:tc>
          <w:tcPr>
            <w:tcW w:w="769" w:type="dxa"/>
          </w:tcPr>
          <w:p w14:paraId="3034A056" w14:textId="77777777" w:rsidR="00EC73D7" w:rsidRPr="00466086" w:rsidRDefault="00000000">
            <w:pPr>
              <w:pStyle w:val="Compact"/>
              <w:rPr>
                <w:rFonts w:ascii="Arial" w:hAnsi="Arial" w:cs="Arial"/>
              </w:rPr>
            </w:pPr>
            <w:r w:rsidRPr="00466086">
              <w:rPr>
                <w:rFonts w:ascii="Arial" w:hAnsi="Arial" w:cs="Arial"/>
              </w:rPr>
              <w:t>1.6</w:t>
            </w:r>
          </w:p>
        </w:tc>
        <w:tc>
          <w:tcPr>
            <w:tcW w:w="2337" w:type="dxa"/>
          </w:tcPr>
          <w:p w14:paraId="6DF7D895" w14:textId="526DE771" w:rsidR="00EC73D7" w:rsidRPr="00466086" w:rsidRDefault="0070337F">
            <w:pPr>
              <w:pStyle w:val="Compact"/>
              <w:rPr>
                <w:rFonts w:ascii="Arial" w:hAnsi="Arial" w:cs="Arial"/>
              </w:rPr>
            </w:pPr>
            <w:r w:rsidRPr="00466086">
              <w:rPr>
                <w:rFonts w:ascii="Arial" w:hAnsi="Arial" w:cs="Arial"/>
              </w:rPr>
              <w:t>Connects capture-to-bill work to the broader NetSuite AP workflow</w:t>
            </w:r>
          </w:p>
        </w:tc>
        <w:tc>
          <w:tcPr>
            <w:tcW w:w="3460" w:type="dxa"/>
          </w:tcPr>
          <w:p w14:paraId="583CC80F" w14:textId="4BF85AC6" w:rsidR="00EC73D7" w:rsidRPr="00466086" w:rsidRDefault="0070337F">
            <w:pPr>
              <w:pStyle w:val="Compact"/>
              <w:rPr>
                <w:rFonts w:ascii="Arial" w:hAnsi="Arial" w:cs="Arial"/>
              </w:rPr>
            </w:pPr>
            <w:r w:rsidRPr="00466086">
              <w:rPr>
                <w:rFonts w:ascii="Arial" w:hAnsi="Arial" w:cs="Arial"/>
              </w:rPr>
              <w:t>Capture rarely lives alone. If approvals, payments, reconciliation, reporting or payroll sit in separate tools, teams can end up with split workflows and handoffs that are hard to govern. Confirm what parts of the AP lifecycle can stay in NetSuite and what requires additional systems, integrations or separate licenses.</w:t>
            </w:r>
          </w:p>
        </w:tc>
        <w:tc>
          <w:tcPr>
            <w:tcW w:w="2591" w:type="dxa"/>
          </w:tcPr>
          <w:p w14:paraId="2ED3D213" w14:textId="77777777" w:rsidR="00EC73D7" w:rsidRPr="00466086" w:rsidRDefault="00EC73D7">
            <w:pPr>
              <w:pStyle w:val="Compact"/>
              <w:rPr>
                <w:rFonts w:ascii="Arial" w:hAnsi="Arial" w:cs="Arial"/>
              </w:rPr>
            </w:pPr>
          </w:p>
        </w:tc>
      </w:tr>
    </w:tbl>
    <w:p w14:paraId="159D997D" w14:textId="239F9D95" w:rsidR="00EC73D7" w:rsidRPr="00466086" w:rsidRDefault="00EC73D7">
      <w:pPr>
        <w:rPr>
          <w:rFonts w:ascii="Arial" w:hAnsi="Arial" w:cs="Arial"/>
        </w:rPr>
      </w:pPr>
    </w:p>
    <w:p w14:paraId="5A15FF77" w14:textId="0636B6AA" w:rsidR="00EC73D7" w:rsidRPr="00466086" w:rsidRDefault="00000000">
      <w:pPr>
        <w:pStyle w:val="Heading1"/>
        <w:rPr>
          <w:rFonts w:ascii="Arial" w:hAnsi="Arial" w:cs="Arial"/>
        </w:rPr>
      </w:pPr>
      <w:bookmarkStart w:id="8" w:name="X2a8d94432b43f7f8e06915822ce318140d66e45"/>
      <w:bookmarkEnd w:id="7"/>
      <w:r w:rsidRPr="00466086">
        <w:rPr>
          <w:rFonts w:ascii="Arial" w:hAnsi="Arial" w:cs="Arial"/>
        </w:rPr>
        <w:t xml:space="preserve">Section 2: </w:t>
      </w:r>
      <w:r w:rsidR="00EE782C" w:rsidRPr="00466086">
        <w:rPr>
          <w:rFonts w:ascii="Arial" w:hAnsi="Arial" w:cs="Arial"/>
        </w:rPr>
        <w:t>Invoice intake and document handling</w:t>
      </w:r>
    </w:p>
    <w:p w14:paraId="18F654C5" w14:textId="28151FE0" w:rsidR="00EC73D7" w:rsidRPr="00466086" w:rsidRDefault="00EE782C">
      <w:pPr>
        <w:pStyle w:val="FirstParagraph"/>
        <w:rPr>
          <w:rFonts w:ascii="Arial" w:hAnsi="Arial" w:cs="Arial"/>
        </w:rPr>
      </w:pPr>
      <w:r w:rsidRPr="00466086">
        <w:rPr>
          <w:rFonts w:ascii="Arial" w:hAnsi="Arial" w:cs="Arial"/>
          <w:shd w:val="clear" w:color="auto" w:fill="FFFFFF"/>
        </w:rPr>
        <w:t>Invoice intake is where automation proves itself in day-to-day operations. You need a solution that accepts what vendors send, processes long invoices reliably and avoids pushing document preparation back onto AP before a bill reaches review, because real-world files vary.</w:t>
      </w:r>
      <w:r w:rsidRPr="00466086">
        <w:rPr>
          <w:rFonts w:ascii="Arial" w:hAnsi="Arial" w:cs="Arial"/>
        </w:rPr>
        <w:br/>
      </w:r>
      <w:r w:rsidRPr="00466086">
        <w:rPr>
          <w:rFonts w:ascii="Arial" w:hAnsi="Arial" w:cs="Arial"/>
        </w:rPr>
        <w:br/>
      </w:r>
      <w:r w:rsidRPr="00466086">
        <w:rPr>
          <w:rFonts w:ascii="Arial" w:hAnsi="Arial" w:cs="Arial"/>
          <w:shd w:val="clear" w:color="auto" w:fill="FFFFFF"/>
        </w:rPr>
        <w:t>These requirements focus on throughput, predictable handling and the edge cases that quietly turn capture into repeat work.</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92"/>
        <w:gridCol w:w="2373"/>
        <w:gridCol w:w="3486"/>
        <w:gridCol w:w="2506"/>
      </w:tblGrid>
      <w:tr w:rsidR="00B9708E" w:rsidRPr="00466086" w14:paraId="6648904C" w14:textId="77777777" w:rsidTr="00EE782C">
        <w:trPr>
          <w:cnfStyle w:val="100000000000" w:firstRow="1" w:lastRow="0" w:firstColumn="0" w:lastColumn="0" w:oddVBand="0" w:evenVBand="0" w:oddHBand="0" w:evenHBand="0" w:firstRowFirstColumn="0" w:firstRowLastColumn="0" w:lastRowFirstColumn="0" w:lastRowLastColumn="0"/>
          <w:tblHeader/>
        </w:trPr>
        <w:tc>
          <w:tcPr>
            <w:tcW w:w="792" w:type="dxa"/>
          </w:tcPr>
          <w:p w14:paraId="3D1EC98E" w14:textId="77777777" w:rsidR="00EC73D7" w:rsidRPr="00466086" w:rsidRDefault="00000000">
            <w:pPr>
              <w:pStyle w:val="Compact"/>
              <w:rPr>
                <w:rFonts w:ascii="Arial" w:hAnsi="Arial" w:cs="Arial"/>
              </w:rPr>
            </w:pPr>
            <w:r w:rsidRPr="00466086">
              <w:rPr>
                <w:rFonts w:ascii="Arial" w:hAnsi="Arial" w:cs="Arial"/>
              </w:rPr>
              <w:t>Ref</w:t>
            </w:r>
          </w:p>
        </w:tc>
        <w:tc>
          <w:tcPr>
            <w:tcW w:w="2373" w:type="dxa"/>
          </w:tcPr>
          <w:p w14:paraId="61272B12" w14:textId="77777777" w:rsidR="00EC73D7" w:rsidRPr="00466086" w:rsidRDefault="00000000">
            <w:pPr>
              <w:pStyle w:val="Compact"/>
              <w:rPr>
                <w:rFonts w:ascii="Arial" w:hAnsi="Arial" w:cs="Arial"/>
              </w:rPr>
            </w:pPr>
            <w:r w:rsidRPr="00466086">
              <w:rPr>
                <w:rFonts w:ascii="Arial" w:hAnsi="Arial" w:cs="Arial"/>
              </w:rPr>
              <w:t>Requirement</w:t>
            </w:r>
          </w:p>
        </w:tc>
        <w:tc>
          <w:tcPr>
            <w:tcW w:w="3486" w:type="dxa"/>
          </w:tcPr>
          <w:p w14:paraId="36AC2D41" w14:textId="77777777" w:rsidR="00EC73D7" w:rsidRPr="00466086" w:rsidRDefault="00000000">
            <w:pPr>
              <w:pStyle w:val="Compact"/>
              <w:rPr>
                <w:rFonts w:ascii="Arial" w:hAnsi="Arial" w:cs="Arial"/>
              </w:rPr>
            </w:pPr>
            <w:r w:rsidRPr="00466086">
              <w:rPr>
                <w:rFonts w:ascii="Arial" w:hAnsi="Arial" w:cs="Arial"/>
              </w:rPr>
              <w:t>Considerations</w:t>
            </w:r>
          </w:p>
        </w:tc>
        <w:tc>
          <w:tcPr>
            <w:tcW w:w="2506" w:type="dxa"/>
          </w:tcPr>
          <w:p w14:paraId="0650D6AE"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057A8E72" w14:textId="77777777" w:rsidTr="00EE782C">
        <w:tc>
          <w:tcPr>
            <w:tcW w:w="792" w:type="dxa"/>
          </w:tcPr>
          <w:p w14:paraId="08D4B191" w14:textId="77777777" w:rsidR="00EC73D7" w:rsidRPr="00466086" w:rsidRDefault="00000000">
            <w:pPr>
              <w:pStyle w:val="Compact"/>
              <w:rPr>
                <w:rFonts w:ascii="Arial" w:hAnsi="Arial" w:cs="Arial"/>
              </w:rPr>
            </w:pPr>
            <w:r w:rsidRPr="00466086">
              <w:rPr>
                <w:rFonts w:ascii="Arial" w:hAnsi="Arial" w:cs="Arial"/>
              </w:rPr>
              <w:t>2.1</w:t>
            </w:r>
          </w:p>
        </w:tc>
        <w:tc>
          <w:tcPr>
            <w:tcW w:w="2373" w:type="dxa"/>
          </w:tcPr>
          <w:p w14:paraId="62ACC81D" w14:textId="01C0AE8B" w:rsidR="00EC73D7" w:rsidRPr="00466086" w:rsidRDefault="00EE782C">
            <w:pPr>
              <w:pStyle w:val="Compact"/>
              <w:rPr>
                <w:rFonts w:ascii="Arial" w:hAnsi="Arial" w:cs="Arial"/>
              </w:rPr>
            </w:pPr>
            <w:r w:rsidRPr="00466086">
              <w:rPr>
                <w:rFonts w:ascii="Arial" w:hAnsi="Arial" w:cs="Arial"/>
                <w:shd w:val="clear" w:color="auto" w:fill="FFFFFF"/>
              </w:rPr>
              <w:t>Processes large, multi-page invoices</w:t>
            </w:r>
          </w:p>
        </w:tc>
        <w:tc>
          <w:tcPr>
            <w:tcW w:w="3486" w:type="dxa"/>
          </w:tcPr>
          <w:p w14:paraId="1985E278" w14:textId="648EF9A2" w:rsidR="00EC73D7" w:rsidRPr="00466086" w:rsidRDefault="00EE782C">
            <w:pPr>
              <w:pStyle w:val="Compact"/>
              <w:rPr>
                <w:rFonts w:ascii="Arial" w:hAnsi="Arial" w:cs="Arial"/>
              </w:rPr>
            </w:pPr>
            <w:r w:rsidRPr="00466086">
              <w:rPr>
                <w:rFonts w:ascii="Arial" w:hAnsi="Arial" w:cs="Arial"/>
                <w:shd w:val="clear" w:color="auto" w:fill="FFFFFF"/>
              </w:rPr>
              <w:t>Restrictive page limits can force manual splitting or re-uploading. That breaks the intake flow and adds repeat handling for detailed invoices with long line-item sections and supporting pages.</w:t>
            </w:r>
          </w:p>
        </w:tc>
        <w:tc>
          <w:tcPr>
            <w:tcW w:w="2506" w:type="dxa"/>
          </w:tcPr>
          <w:p w14:paraId="404DD894" w14:textId="77777777" w:rsidR="00EC73D7" w:rsidRPr="00466086" w:rsidRDefault="00EC73D7">
            <w:pPr>
              <w:pStyle w:val="Compact"/>
              <w:rPr>
                <w:rFonts w:ascii="Arial" w:hAnsi="Arial" w:cs="Arial"/>
              </w:rPr>
            </w:pPr>
          </w:p>
        </w:tc>
      </w:tr>
      <w:tr w:rsidR="00B9708E" w:rsidRPr="00466086" w14:paraId="7AEBAAF9" w14:textId="77777777" w:rsidTr="00EE782C">
        <w:tc>
          <w:tcPr>
            <w:tcW w:w="792" w:type="dxa"/>
          </w:tcPr>
          <w:p w14:paraId="49B75560" w14:textId="77777777" w:rsidR="00EC73D7" w:rsidRPr="00466086" w:rsidRDefault="00000000">
            <w:pPr>
              <w:pStyle w:val="Compact"/>
              <w:rPr>
                <w:rFonts w:ascii="Arial" w:hAnsi="Arial" w:cs="Arial"/>
              </w:rPr>
            </w:pPr>
            <w:r w:rsidRPr="00466086">
              <w:rPr>
                <w:rFonts w:ascii="Arial" w:hAnsi="Arial" w:cs="Arial"/>
              </w:rPr>
              <w:t>2.2</w:t>
            </w:r>
          </w:p>
        </w:tc>
        <w:tc>
          <w:tcPr>
            <w:tcW w:w="2373" w:type="dxa"/>
          </w:tcPr>
          <w:p w14:paraId="195312ED" w14:textId="3006CD08" w:rsidR="00EC73D7" w:rsidRPr="00466086" w:rsidRDefault="00EE782C">
            <w:pPr>
              <w:pStyle w:val="Compact"/>
              <w:rPr>
                <w:rFonts w:ascii="Arial" w:hAnsi="Arial" w:cs="Arial"/>
              </w:rPr>
            </w:pPr>
            <w:r w:rsidRPr="00466086">
              <w:rPr>
                <w:rFonts w:ascii="Arial" w:hAnsi="Arial" w:cs="Arial"/>
                <w:shd w:val="clear" w:color="auto" w:fill="FFFFFF"/>
              </w:rPr>
              <w:t>Supports bulk uploads and high-volume intake</w:t>
            </w:r>
          </w:p>
        </w:tc>
        <w:tc>
          <w:tcPr>
            <w:tcW w:w="3486" w:type="dxa"/>
          </w:tcPr>
          <w:p w14:paraId="2309D9C7" w14:textId="1E5C8847" w:rsidR="00EC73D7" w:rsidRPr="00466086" w:rsidRDefault="00EE782C">
            <w:pPr>
              <w:pStyle w:val="Compact"/>
              <w:rPr>
                <w:rFonts w:ascii="Arial" w:hAnsi="Arial" w:cs="Arial"/>
              </w:rPr>
            </w:pPr>
            <w:r w:rsidRPr="00466086">
              <w:rPr>
                <w:rFonts w:ascii="Arial" w:hAnsi="Arial" w:cs="Arial"/>
                <w:shd w:val="clear" w:color="auto" w:fill="FFFFFF"/>
              </w:rPr>
              <w:t xml:space="preserve">If bulk intake is constrained, teams may stagger processing during peaks, monitor queues more actively and reprocess failures that should have </w:t>
            </w:r>
            <w:r w:rsidRPr="00466086">
              <w:rPr>
                <w:rFonts w:ascii="Arial" w:hAnsi="Arial" w:cs="Arial"/>
                <w:shd w:val="clear" w:color="auto" w:fill="FFFFFF"/>
              </w:rPr>
              <w:lastRenderedPageBreak/>
              <w:t xml:space="preserve">cleared the first time. </w:t>
            </w:r>
            <w:r w:rsidRPr="00466086">
              <w:rPr>
                <w:rFonts w:ascii="Arial" w:hAnsi="Arial" w:cs="Arial"/>
                <w:shd w:val="clear" w:color="auto" w:fill="FFFFFF"/>
              </w:rPr>
              <w:br/>
            </w:r>
          </w:p>
        </w:tc>
        <w:tc>
          <w:tcPr>
            <w:tcW w:w="2506" w:type="dxa"/>
          </w:tcPr>
          <w:p w14:paraId="4BF46C4D" w14:textId="77777777" w:rsidR="00EC73D7" w:rsidRPr="00466086" w:rsidRDefault="00EC73D7">
            <w:pPr>
              <w:pStyle w:val="Compact"/>
              <w:rPr>
                <w:rFonts w:ascii="Arial" w:hAnsi="Arial" w:cs="Arial"/>
              </w:rPr>
            </w:pPr>
          </w:p>
        </w:tc>
      </w:tr>
      <w:tr w:rsidR="00B9708E" w:rsidRPr="00466086" w14:paraId="490CE9D4" w14:textId="77777777" w:rsidTr="00EE782C">
        <w:tc>
          <w:tcPr>
            <w:tcW w:w="792" w:type="dxa"/>
          </w:tcPr>
          <w:p w14:paraId="3E0B0CF7" w14:textId="77777777" w:rsidR="00EC73D7" w:rsidRPr="00466086" w:rsidRDefault="00000000">
            <w:pPr>
              <w:pStyle w:val="Compact"/>
              <w:rPr>
                <w:rFonts w:ascii="Arial" w:hAnsi="Arial" w:cs="Arial"/>
              </w:rPr>
            </w:pPr>
            <w:r w:rsidRPr="00466086">
              <w:rPr>
                <w:rFonts w:ascii="Arial" w:hAnsi="Arial" w:cs="Arial"/>
              </w:rPr>
              <w:t>2.3</w:t>
            </w:r>
          </w:p>
        </w:tc>
        <w:tc>
          <w:tcPr>
            <w:tcW w:w="2373" w:type="dxa"/>
          </w:tcPr>
          <w:p w14:paraId="48FD38F8" w14:textId="52EDC51B" w:rsidR="00EC73D7" w:rsidRPr="00466086" w:rsidRDefault="00EE782C">
            <w:pPr>
              <w:pStyle w:val="Compact"/>
              <w:rPr>
                <w:rFonts w:ascii="Arial" w:hAnsi="Arial" w:cs="Arial"/>
              </w:rPr>
            </w:pPr>
            <w:r w:rsidRPr="00466086">
              <w:rPr>
                <w:rFonts w:ascii="Arial" w:hAnsi="Arial" w:cs="Arial"/>
                <w:shd w:val="clear" w:color="auto" w:fill="FFFFFF"/>
              </w:rPr>
              <w:t>Handles multi-invoice PDFs predictably</w:t>
            </w:r>
          </w:p>
        </w:tc>
        <w:tc>
          <w:tcPr>
            <w:tcW w:w="3486" w:type="dxa"/>
          </w:tcPr>
          <w:p w14:paraId="357F68BF" w14:textId="23948909" w:rsidR="00EC73D7" w:rsidRPr="00466086" w:rsidRDefault="00EE782C">
            <w:pPr>
              <w:pStyle w:val="Compact"/>
              <w:rPr>
                <w:rFonts w:ascii="Arial" w:hAnsi="Arial" w:cs="Arial"/>
              </w:rPr>
            </w:pPr>
            <w:r w:rsidRPr="00466086">
              <w:rPr>
                <w:rFonts w:ascii="Arial" w:hAnsi="Arial" w:cs="Arial"/>
                <w:shd w:val="clear" w:color="auto" w:fill="FFFFFF"/>
              </w:rPr>
              <w:t xml:space="preserve">If a PDF contains multiple invoices and the solution won’t separate them, AP ends up separating them instead. Extra handling up front. That manual step can delay bill creation when volume is high. </w:t>
            </w:r>
            <w:r w:rsidRPr="00466086">
              <w:rPr>
                <w:rFonts w:ascii="Arial" w:hAnsi="Arial" w:cs="Arial"/>
                <w:shd w:val="clear" w:color="auto" w:fill="FFFFFF"/>
              </w:rPr>
              <w:br/>
            </w:r>
          </w:p>
        </w:tc>
        <w:tc>
          <w:tcPr>
            <w:tcW w:w="2506" w:type="dxa"/>
          </w:tcPr>
          <w:p w14:paraId="73E23B61" w14:textId="77777777" w:rsidR="00EC73D7" w:rsidRPr="00466086" w:rsidRDefault="00EC73D7">
            <w:pPr>
              <w:pStyle w:val="Compact"/>
              <w:rPr>
                <w:rFonts w:ascii="Arial" w:hAnsi="Arial" w:cs="Arial"/>
              </w:rPr>
            </w:pPr>
          </w:p>
        </w:tc>
      </w:tr>
      <w:tr w:rsidR="00B9708E" w:rsidRPr="00466086" w14:paraId="6CB9FADC" w14:textId="77777777" w:rsidTr="00EE782C">
        <w:tc>
          <w:tcPr>
            <w:tcW w:w="792" w:type="dxa"/>
          </w:tcPr>
          <w:p w14:paraId="0F7351F2" w14:textId="77777777" w:rsidR="00EC73D7" w:rsidRPr="00466086" w:rsidRDefault="00000000">
            <w:pPr>
              <w:pStyle w:val="Compact"/>
              <w:rPr>
                <w:rFonts w:ascii="Arial" w:hAnsi="Arial" w:cs="Arial"/>
              </w:rPr>
            </w:pPr>
            <w:r w:rsidRPr="00466086">
              <w:rPr>
                <w:rFonts w:ascii="Arial" w:hAnsi="Arial" w:cs="Arial"/>
              </w:rPr>
              <w:t>2.4</w:t>
            </w:r>
          </w:p>
        </w:tc>
        <w:tc>
          <w:tcPr>
            <w:tcW w:w="2373" w:type="dxa"/>
          </w:tcPr>
          <w:p w14:paraId="561B61EB" w14:textId="17FE694B" w:rsidR="00EC73D7" w:rsidRPr="00466086" w:rsidRDefault="00EE782C">
            <w:pPr>
              <w:pStyle w:val="Compact"/>
              <w:rPr>
                <w:rFonts w:ascii="Arial" w:hAnsi="Arial" w:cs="Arial"/>
              </w:rPr>
            </w:pPr>
            <w:r w:rsidRPr="00466086">
              <w:rPr>
                <w:rFonts w:ascii="Arial" w:hAnsi="Arial" w:cs="Arial"/>
                <w:shd w:val="clear" w:color="auto" w:fill="FFFFFF"/>
              </w:rPr>
              <w:t>Accepts common invoice file types, including PDF and image formats such as JPG/JPEG and PNG</w:t>
            </w:r>
          </w:p>
        </w:tc>
        <w:tc>
          <w:tcPr>
            <w:tcW w:w="3486" w:type="dxa"/>
          </w:tcPr>
          <w:p w14:paraId="73884644" w14:textId="495B410D" w:rsidR="00EC73D7" w:rsidRPr="00466086" w:rsidRDefault="00EE782C">
            <w:pPr>
              <w:pStyle w:val="Compact"/>
              <w:rPr>
                <w:rFonts w:ascii="Arial" w:hAnsi="Arial" w:cs="Arial"/>
              </w:rPr>
            </w:pPr>
            <w:r w:rsidRPr="00466086">
              <w:rPr>
                <w:rFonts w:ascii="Arial" w:hAnsi="Arial" w:cs="Arial"/>
                <w:shd w:val="clear" w:color="auto" w:fill="FFFFFF"/>
              </w:rPr>
              <w:t>If vendors send scanned images or photos and the solution can’t accept them, teams may convert files outside NetSuite. That adds delay and increases the chance invoices get misrouted or dropped. If image support is limited to specific constraints such as single-page images, document those limits.</w:t>
            </w:r>
          </w:p>
        </w:tc>
        <w:tc>
          <w:tcPr>
            <w:tcW w:w="2506" w:type="dxa"/>
          </w:tcPr>
          <w:p w14:paraId="4DFC8CFF" w14:textId="77777777" w:rsidR="00EC73D7" w:rsidRPr="00466086" w:rsidRDefault="00EC73D7">
            <w:pPr>
              <w:pStyle w:val="Compact"/>
              <w:rPr>
                <w:rFonts w:ascii="Arial" w:hAnsi="Arial" w:cs="Arial"/>
              </w:rPr>
            </w:pPr>
          </w:p>
        </w:tc>
      </w:tr>
      <w:tr w:rsidR="00B9708E" w:rsidRPr="00466086" w14:paraId="17620823" w14:textId="77777777" w:rsidTr="00EE782C">
        <w:tc>
          <w:tcPr>
            <w:tcW w:w="792" w:type="dxa"/>
          </w:tcPr>
          <w:p w14:paraId="35D9BD2A" w14:textId="77777777" w:rsidR="00EC73D7" w:rsidRPr="00466086" w:rsidRDefault="00000000">
            <w:pPr>
              <w:pStyle w:val="Compact"/>
              <w:rPr>
                <w:rFonts w:ascii="Arial" w:hAnsi="Arial" w:cs="Arial"/>
              </w:rPr>
            </w:pPr>
            <w:r w:rsidRPr="00466086">
              <w:rPr>
                <w:rFonts w:ascii="Arial" w:hAnsi="Arial" w:cs="Arial"/>
              </w:rPr>
              <w:t>2.5</w:t>
            </w:r>
          </w:p>
        </w:tc>
        <w:tc>
          <w:tcPr>
            <w:tcW w:w="2373" w:type="dxa"/>
          </w:tcPr>
          <w:p w14:paraId="0A951214" w14:textId="77777777" w:rsidR="00EE782C" w:rsidRPr="00466086" w:rsidRDefault="00EE782C" w:rsidP="00EE782C">
            <w:pPr>
              <w:rPr>
                <w:rFonts w:ascii="Arial" w:hAnsi="Arial" w:cs="Arial"/>
                <w:shd w:val="clear" w:color="auto" w:fill="FFFFFF"/>
              </w:rPr>
            </w:pPr>
            <w:r w:rsidRPr="00466086">
              <w:rPr>
                <w:rFonts w:ascii="Arial" w:hAnsi="Arial" w:cs="Arial"/>
              </w:rPr>
              <w:t>Provides end-to-end processing status from intake through capture review and bill creation</w:t>
            </w:r>
            <w:r w:rsidRPr="00466086">
              <w:rPr>
                <w:rFonts w:ascii="Arial" w:hAnsi="Arial" w:cs="Arial"/>
                <w:shd w:val="clear" w:color="auto" w:fill="FFFFFF"/>
              </w:rPr>
              <w:t xml:space="preserve"> </w:t>
            </w:r>
          </w:p>
          <w:p w14:paraId="7D3AB5D1" w14:textId="1B864F18" w:rsidR="00EC73D7" w:rsidRPr="00466086" w:rsidRDefault="00EC73D7">
            <w:pPr>
              <w:pStyle w:val="Compact"/>
              <w:rPr>
                <w:rFonts w:ascii="Arial" w:hAnsi="Arial" w:cs="Arial"/>
              </w:rPr>
            </w:pPr>
          </w:p>
        </w:tc>
        <w:tc>
          <w:tcPr>
            <w:tcW w:w="3486" w:type="dxa"/>
          </w:tcPr>
          <w:p w14:paraId="505E10A8" w14:textId="356E2564" w:rsidR="00EC73D7" w:rsidRPr="00466086" w:rsidRDefault="00EE782C" w:rsidP="00EE782C">
            <w:pPr>
              <w:rPr>
                <w:rFonts w:ascii="Arial" w:hAnsi="Arial" w:cs="Arial"/>
                <w:shd w:val="clear" w:color="auto" w:fill="FFFFFF"/>
              </w:rPr>
            </w:pPr>
            <w:r w:rsidRPr="00466086">
              <w:rPr>
                <w:rFonts w:ascii="Arial" w:hAnsi="Arial" w:cs="Arial"/>
              </w:rPr>
              <w:t xml:space="preserve">Status should show when a document is received, in processing, ready for review, failed with a reason and what action clears the failure – plus when a bill is created and linked. </w:t>
            </w:r>
            <w:r w:rsidRPr="00466086">
              <w:rPr>
                <w:rFonts w:ascii="Arial" w:hAnsi="Arial" w:cs="Arial"/>
                <w:shd w:val="clear" w:color="auto" w:fill="FFFFFF"/>
              </w:rPr>
              <w:t xml:space="preserve">If teams cannot tell what stage a document is in, they spend time checking, following up and resubmitting. </w:t>
            </w:r>
          </w:p>
        </w:tc>
        <w:tc>
          <w:tcPr>
            <w:tcW w:w="2506" w:type="dxa"/>
          </w:tcPr>
          <w:p w14:paraId="43B1CF14" w14:textId="77777777" w:rsidR="00EC73D7" w:rsidRPr="00466086" w:rsidRDefault="00EC73D7">
            <w:pPr>
              <w:pStyle w:val="Compact"/>
              <w:rPr>
                <w:rFonts w:ascii="Arial" w:hAnsi="Arial" w:cs="Arial"/>
              </w:rPr>
            </w:pPr>
          </w:p>
        </w:tc>
      </w:tr>
      <w:tr w:rsidR="00B9708E" w:rsidRPr="00466086" w14:paraId="1C33241D" w14:textId="77777777" w:rsidTr="00EE782C">
        <w:tc>
          <w:tcPr>
            <w:tcW w:w="792" w:type="dxa"/>
          </w:tcPr>
          <w:p w14:paraId="26DEE056" w14:textId="77777777" w:rsidR="00EC73D7" w:rsidRPr="00466086" w:rsidRDefault="00000000">
            <w:pPr>
              <w:pStyle w:val="Compact"/>
              <w:rPr>
                <w:rFonts w:ascii="Arial" w:hAnsi="Arial" w:cs="Arial"/>
              </w:rPr>
            </w:pPr>
            <w:r w:rsidRPr="00466086">
              <w:rPr>
                <w:rFonts w:ascii="Arial" w:hAnsi="Arial" w:cs="Arial"/>
              </w:rPr>
              <w:t>2.6</w:t>
            </w:r>
          </w:p>
        </w:tc>
        <w:tc>
          <w:tcPr>
            <w:tcW w:w="2373" w:type="dxa"/>
          </w:tcPr>
          <w:p w14:paraId="4F5110DE" w14:textId="74CAAF83" w:rsidR="00EC73D7" w:rsidRPr="00466086" w:rsidRDefault="00EE782C">
            <w:pPr>
              <w:pStyle w:val="Compact"/>
              <w:rPr>
                <w:rFonts w:ascii="Arial" w:hAnsi="Arial" w:cs="Arial"/>
              </w:rPr>
            </w:pPr>
            <w:r w:rsidRPr="00466086">
              <w:rPr>
                <w:rFonts w:ascii="Arial" w:hAnsi="Arial" w:cs="Arial"/>
                <w:shd w:val="clear" w:color="auto" w:fill="FFFFFF"/>
              </w:rPr>
              <w:t>Flags potential duplicate invoices at ingestion, before they enter the AP workflow</w:t>
            </w:r>
          </w:p>
        </w:tc>
        <w:tc>
          <w:tcPr>
            <w:tcW w:w="3486" w:type="dxa"/>
          </w:tcPr>
          <w:p w14:paraId="7400F561" w14:textId="012D054E" w:rsidR="00EC73D7" w:rsidRPr="00466086" w:rsidRDefault="00EE782C" w:rsidP="00EE782C">
            <w:pPr>
              <w:rPr>
                <w:rFonts w:ascii="Arial" w:hAnsi="Arial" w:cs="Arial"/>
              </w:rPr>
            </w:pPr>
            <w:r w:rsidRPr="00466086">
              <w:rPr>
                <w:rFonts w:ascii="Arial" w:hAnsi="Arial" w:cs="Arial"/>
                <w:shd w:val="clear" w:color="auto" w:fill="FFFFFF"/>
              </w:rPr>
              <w:t xml:space="preserve">When potential duplicates are flagged late in the process or missed entirely, you fall back on manual checks or downstream controls. </w:t>
            </w:r>
            <w:r w:rsidRPr="00466086">
              <w:rPr>
                <w:rFonts w:ascii="Arial" w:hAnsi="Arial" w:cs="Arial"/>
              </w:rPr>
              <w:t xml:space="preserve">That increases payment risk, manual investigation and extra cleanup later when teams </w:t>
            </w:r>
            <w:proofErr w:type="gramStart"/>
            <w:r w:rsidRPr="00466086">
              <w:rPr>
                <w:rFonts w:ascii="Arial" w:hAnsi="Arial" w:cs="Arial"/>
              </w:rPr>
              <w:t>have to</w:t>
            </w:r>
            <w:proofErr w:type="gramEnd"/>
            <w:r w:rsidRPr="00466086">
              <w:rPr>
                <w:rFonts w:ascii="Arial" w:hAnsi="Arial" w:cs="Arial"/>
              </w:rPr>
              <w:t xml:space="preserve"> unwind duplicates and fix bills that should not have been created.</w:t>
            </w:r>
          </w:p>
        </w:tc>
        <w:tc>
          <w:tcPr>
            <w:tcW w:w="2506" w:type="dxa"/>
          </w:tcPr>
          <w:p w14:paraId="63D2772F" w14:textId="77777777" w:rsidR="00EC73D7" w:rsidRPr="00466086" w:rsidRDefault="00EC73D7">
            <w:pPr>
              <w:pStyle w:val="Compact"/>
              <w:rPr>
                <w:rFonts w:ascii="Arial" w:hAnsi="Arial" w:cs="Arial"/>
              </w:rPr>
            </w:pPr>
          </w:p>
        </w:tc>
      </w:tr>
      <w:tr w:rsidR="00B9708E" w:rsidRPr="00466086" w14:paraId="63D16549" w14:textId="77777777" w:rsidTr="00EE782C">
        <w:tc>
          <w:tcPr>
            <w:tcW w:w="792" w:type="dxa"/>
          </w:tcPr>
          <w:p w14:paraId="70FD1E6F" w14:textId="77777777" w:rsidR="00EC73D7" w:rsidRPr="00466086" w:rsidRDefault="00000000">
            <w:pPr>
              <w:pStyle w:val="Compact"/>
              <w:rPr>
                <w:rFonts w:ascii="Arial" w:hAnsi="Arial" w:cs="Arial"/>
              </w:rPr>
            </w:pPr>
            <w:r w:rsidRPr="00466086">
              <w:rPr>
                <w:rFonts w:ascii="Arial" w:hAnsi="Arial" w:cs="Arial"/>
              </w:rPr>
              <w:lastRenderedPageBreak/>
              <w:t>2.7</w:t>
            </w:r>
          </w:p>
        </w:tc>
        <w:tc>
          <w:tcPr>
            <w:tcW w:w="2373" w:type="dxa"/>
          </w:tcPr>
          <w:p w14:paraId="3985877A" w14:textId="1AFD7AD4" w:rsidR="00EC73D7" w:rsidRPr="00466086" w:rsidRDefault="00EE782C">
            <w:pPr>
              <w:pStyle w:val="Compact"/>
              <w:rPr>
                <w:rFonts w:ascii="Arial" w:hAnsi="Arial" w:cs="Arial"/>
              </w:rPr>
            </w:pPr>
            <w:r w:rsidRPr="00466086">
              <w:rPr>
                <w:rFonts w:ascii="Arial" w:hAnsi="Arial" w:cs="Arial"/>
                <w:kern w:val="2"/>
                <w:shd w:val="clear" w:color="auto" w:fill="FFFFFF"/>
                <w14:ligatures w14:val="standardContextual"/>
              </w:rPr>
              <w:t>Stores captured invoice documents in NetSuite and links them to the bill record</w:t>
            </w:r>
          </w:p>
        </w:tc>
        <w:tc>
          <w:tcPr>
            <w:tcW w:w="3486" w:type="dxa"/>
          </w:tcPr>
          <w:p w14:paraId="52AB3699" w14:textId="7D879268" w:rsidR="00EC73D7" w:rsidRPr="00466086" w:rsidRDefault="00EE782C" w:rsidP="00EE782C">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If documents are stored outside NetSuite, your team can end up retrieving files from a second system during audits and vendor disputes. Confirm where the invoice image and supporting files are stored and how users access them from the NetSuite transaction.</w:t>
            </w:r>
          </w:p>
        </w:tc>
        <w:tc>
          <w:tcPr>
            <w:tcW w:w="2506" w:type="dxa"/>
          </w:tcPr>
          <w:p w14:paraId="0D5A7F46" w14:textId="77777777" w:rsidR="00EC73D7" w:rsidRPr="00466086" w:rsidRDefault="00EC73D7">
            <w:pPr>
              <w:pStyle w:val="Compact"/>
              <w:rPr>
                <w:rFonts w:ascii="Arial" w:hAnsi="Arial" w:cs="Arial"/>
              </w:rPr>
            </w:pPr>
          </w:p>
        </w:tc>
      </w:tr>
      <w:tr w:rsidR="00B9708E" w:rsidRPr="00466086" w14:paraId="7A680EF8" w14:textId="77777777" w:rsidTr="00EE782C">
        <w:tc>
          <w:tcPr>
            <w:tcW w:w="792" w:type="dxa"/>
          </w:tcPr>
          <w:p w14:paraId="73279EF2" w14:textId="77777777" w:rsidR="00EC73D7" w:rsidRPr="00466086" w:rsidRDefault="00000000">
            <w:pPr>
              <w:pStyle w:val="Compact"/>
              <w:rPr>
                <w:rFonts w:ascii="Arial" w:hAnsi="Arial" w:cs="Arial"/>
              </w:rPr>
            </w:pPr>
            <w:r w:rsidRPr="00466086">
              <w:rPr>
                <w:rFonts w:ascii="Arial" w:hAnsi="Arial" w:cs="Arial"/>
              </w:rPr>
              <w:t>2.8</w:t>
            </w:r>
          </w:p>
        </w:tc>
        <w:tc>
          <w:tcPr>
            <w:tcW w:w="2373" w:type="dxa"/>
          </w:tcPr>
          <w:p w14:paraId="5209ACAA" w14:textId="266678F6" w:rsidR="00EC73D7" w:rsidRPr="00466086" w:rsidRDefault="00EE782C">
            <w:pPr>
              <w:pStyle w:val="Compact"/>
              <w:rPr>
                <w:rFonts w:ascii="Arial" w:hAnsi="Arial" w:cs="Arial"/>
              </w:rPr>
            </w:pPr>
            <w:r w:rsidRPr="00466086">
              <w:rPr>
                <w:rFonts w:ascii="Arial" w:hAnsi="Arial" w:cs="Arial"/>
                <w:kern w:val="2"/>
                <w:shd w:val="clear" w:color="auto" w:fill="FFFFFF"/>
                <w14:ligatures w14:val="standardContextual"/>
              </w:rPr>
              <w:t>Supports low-touch bill creation for repeatable invoice formats</w:t>
            </w:r>
          </w:p>
        </w:tc>
        <w:tc>
          <w:tcPr>
            <w:tcW w:w="3486" w:type="dxa"/>
          </w:tcPr>
          <w:p w14:paraId="5831CE3F" w14:textId="5D7C3B18" w:rsidR="00EC73D7" w:rsidRPr="00466086" w:rsidRDefault="00EE782C">
            <w:pPr>
              <w:pStyle w:val="Compact"/>
              <w:rPr>
                <w:rFonts w:ascii="Arial" w:hAnsi="Arial" w:cs="Arial"/>
              </w:rPr>
            </w:pPr>
            <w:r w:rsidRPr="00466086">
              <w:rPr>
                <w:rFonts w:ascii="Arial" w:hAnsi="Arial" w:cs="Arial"/>
                <w:kern w:val="2"/>
                <w:shd w:val="clear" w:color="auto" w:fill="FFFFFF"/>
                <w14:ligatures w14:val="standardContextual"/>
              </w:rPr>
              <w:t>If repeat invoices still require the same review and cleanup, you keep paying the manual tax on predictable work. Confirm what qualifies for low-touch processing, what validation runs before bill creation and what triggers an exception.</w:t>
            </w:r>
          </w:p>
        </w:tc>
        <w:tc>
          <w:tcPr>
            <w:tcW w:w="2506" w:type="dxa"/>
          </w:tcPr>
          <w:p w14:paraId="09C23496" w14:textId="77777777" w:rsidR="00EC73D7" w:rsidRPr="00466086" w:rsidRDefault="00EC73D7">
            <w:pPr>
              <w:pStyle w:val="Compact"/>
              <w:rPr>
                <w:rFonts w:ascii="Arial" w:hAnsi="Arial" w:cs="Arial"/>
              </w:rPr>
            </w:pPr>
          </w:p>
        </w:tc>
      </w:tr>
    </w:tbl>
    <w:p w14:paraId="7674D1E4" w14:textId="20B4C759" w:rsidR="00EC73D7" w:rsidRPr="00466086" w:rsidRDefault="00EC73D7">
      <w:pPr>
        <w:rPr>
          <w:rFonts w:ascii="Arial" w:hAnsi="Arial" w:cs="Arial"/>
        </w:rPr>
      </w:pPr>
    </w:p>
    <w:p w14:paraId="7AA51987" w14:textId="183C7B6D" w:rsidR="00EC73D7" w:rsidRPr="00466086" w:rsidRDefault="00000000">
      <w:pPr>
        <w:pStyle w:val="Heading1"/>
        <w:rPr>
          <w:rFonts w:ascii="Arial" w:hAnsi="Arial" w:cs="Arial"/>
        </w:rPr>
      </w:pPr>
      <w:bookmarkStart w:id="9" w:name="section-3-usagebased-and-complex-billing"/>
      <w:bookmarkEnd w:id="8"/>
      <w:r w:rsidRPr="00466086">
        <w:rPr>
          <w:rFonts w:ascii="Arial" w:hAnsi="Arial" w:cs="Arial"/>
        </w:rPr>
        <w:t xml:space="preserve">Section 3: </w:t>
      </w:r>
      <w:r w:rsidR="00B81DD7" w:rsidRPr="00466086">
        <w:rPr>
          <w:rFonts w:ascii="Arial" w:hAnsi="Arial" w:cs="Arial"/>
        </w:rPr>
        <w:t>OCR and AI extraction quality</w:t>
      </w:r>
    </w:p>
    <w:p w14:paraId="2AD150FF" w14:textId="1CFAD698" w:rsidR="00EC73D7" w:rsidRPr="00466086" w:rsidRDefault="00B81DD7">
      <w:pPr>
        <w:pStyle w:val="FirstParagraph"/>
        <w:rPr>
          <w:rFonts w:ascii="Arial" w:hAnsi="Arial" w:cs="Arial"/>
        </w:rPr>
      </w:pPr>
      <w:r w:rsidRPr="00466086">
        <w:rPr>
          <w:rFonts w:ascii="Arial" w:hAnsi="Arial" w:cs="Arial"/>
          <w:shd w:val="clear" w:color="auto" w:fill="FFFFFF"/>
        </w:rPr>
        <w:t>The value of AP automation starts with what gets extracted and how reliably it holds up across real invoice variation. When extraction is inconsistent, AP work shifts from review to re-entry, and the same cleanup repeats every month. Accuracy that improves over time matters, especially for recurring vendors.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40"/>
        <w:gridCol w:w="2372"/>
        <w:gridCol w:w="3512"/>
        <w:gridCol w:w="2533"/>
      </w:tblGrid>
      <w:tr w:rsidR="00B9708E" w:rsidRPr="00466086" w14:paraId="1C82F7C4" w14:textId="77777777" w:rsidTr="00DE1097">
        <w:trPr>
          <w:cnfStyle w:val="100000000000" w:firstRow="1" w:lastRow="0" w:firstColumn="0" w:lastColumn="0" w:oddVBand="0" w:evenVBand="0" w:oddHBand="0" w:evenHBand="0" w:firstRowFirstColumn="0" w:firstRowLastColumn="0" w:lastRowFirstColumn="0" w:lastRowLastColumn="0"/>
          <w:tblHeader/>
        </w:trPr>
        <w:tc>
          <w:tcPr>
            <w:tcW w:w="740" w:type="dxa"/>
          </w:tcPr>
          <w:p w14:paraId="3B1D1157" w14:textId="77777777" w:rsidR="00EC73D7" w:rsidRPr="00466086" w:rsidRDefault="00000000">
            <w:pPr>
              <w:pStyle w:val="Compact"/>
              <w:rPr>
                <w:rFonts w:ascii="Arial" w:hAnsi="Arial" w:cs="Arial"/>
              </w:rPr>
            </w:pPr>
            <w:r w:rsidRPr="00466086">
              <w:rPr>
                <w:rFonts w:ascii="Arial" w:hAnsi="Arial" w:cs="Arial"/>
              </w:rPr>
              <w:t>Ref</w:t>
            </w:r>
          </w:p>
        </w:tc>
        <w:tc>
          <w:tcPr>
            <w:tcW w:w="2372" w:type="dxa"/>
          </w:tcPr>
          <w:p w14:paraId="652F141D" w14:textId="77777777" w:rsidR="00EC73D7" w:rsidRPr="00466086" w:rsidRDefault="00000000">
            <w:pPr>
              <w:pStyle w:val="Compact"/>
              <w:rPr>
                <w:rFonts w:ascii="Arial" w:hAnsi="Arial" w:cs="Arial"/>
              </w:rPr>
            </w:pPr>
            <w:r w:rsidRPr="00466086">
              <w:rPr>
                <w:rFonts w:ascii="Arial" w:hAnsi="Arial" w:cs="Arial"/>
              </w:rPr>
              <w:t>Requirement</w:t>
            </w:r>
          </w:p>
        </w:tc>
        <w:tc>
          <w:tcPr>
            <w:tcW w:w="3512" w:type="dxa"/>
          </w:tcPr>
          <w:p w14:paraId="5A2390BF" w14:textId="77777777" w:rsidR="00EC73D7" w:rsidRPr="00466086" w:rsidRDefault="00000000">
            <w:pPr>
              <w:pStyle w:val="Compact"/>
              <w:rPr>
                <w:rFonts w:ascii="Arial" w:hAnsi="Arial" w:cs="Arial"/>
              </w:rPr>
            </w:pPr>
            <w:r w:rsidRPr="00466086">
              <w:rPr>
                <w:rFonts w:ascii="Arial" w:hAnsi="Arial" w:cs="Arial"/>
              </w:rPr>
              <w:t>Considerations</w:t>
            </w:r>
          </w:p>
        </w:tc>
        <w:tc>
          <w:tcPr>
            <w:tcW w:w="2533" w:type="dxa"/>
          </w:tcPr>
          <w:p w14:paraId="2174E507"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75EE4836" w14:textId="77777777" w:rsidTr="00DE1097">
        <w:tc>
          <w:tcPr>
            <w:tcW w:w="740" w:type="dxa"/>
          </w:tcPr>
          <w:p w14:paraId="6767D2D9" w14:textId="77777777" w:rsidR="00EC73D7" w:rsidRPr="00466086" w:rsidRDefault="00000000">
            <w:pPr>
              <w:pStyle w:val="Compact"/>
              <w:rPr>
                <w:rFonts w:ascii="Arial" w:hAnsi="Arial" w:cs="Arial"/>
              </w:rPr>
            </w:pPr>
            <w:r w:rsidRPr="00466086">
              <w:rPr>
                <w:rFonts w:ascii="Arial" w:hAnsi="Arial" w:cs="Arial"/>
              </w:rPr>
              <w:t>3.1</w:t>
            </w:r>
          </w:p>
        </w:tc>
        <w:tc>
          <w:tcPr>
            <w:tcW w:w="2372" w:type="dxa"/>
          </w:tcPr>
          <w:p w14:paraId="1510B4F6" w14:textId="00EF9161" w:rsidR="00EC73D7" w:rsidRPr="00466086" w:rsidRDefault="00B81DD7">
            <w:pPr>
              <w:pStyle w:val="Compact"/>
              <w:rPr>
                <w:rFonts w:ascii="Arial" w:hAnsi="Arial" w:cs="Arial"/>
              </w:rPr>
            </w:pPr>
            <w:r w:rsidRPr="00466086">
              <w:rPr>
                <w:rFonts w:ascii="Arial" w:hAnsi="Arial" w:cs="Arial"/>
                <w:shd w:val="clear" w:color="auto" w:fill="FFFFFF"/>
              </w:rPr>
              <w:t>Uses OCR plus AI that learns from corrections and vendor patterns over time</w:t>
            </w:r>
          </w:p>
        </w:tc>
        <w:tc>
          <w:tcPr>
            <w:tcW w:w="3512" w:type="dxa"/>
          </w:tcPr>
          <w:p w14:paraId="3CFB0AF3" w14:textId="44EA82CF" w:rsidR="00EC73D7" w:rsidRPr="00466086" w:rsidRDefault="00B81DD7">
            <w:pPr>
              <w:pStyle w:val="Compact"/>
              <w:rPr>
                <w:rFonts w:ascii="Arial" w:hAnsi="Arial" w:cs="Arial"/>
              </w:rPr>
            </w:pPr>
            <w:r w:rsidRPr="00466086">
              <w:rPr>
                <w:rFonts w:ascii="Arial" w:hAnsi="Arial" w:cs="Arial"/>
                <w:shd w:val="clear" w:color="auto" w:fill="FFFFFF"/>
              </w:rPr>
              <w:t xml:space="preserve">If accuracy does not meaningfully improve, teams keep correcting the same vendors, fields and line items month after month. That shows up as repeated manual review, delayed processing and less confidence in what reaches the bill record. </w:t>
            </w:r>
            <w:r w:rsidRPr="00466086">
              <w:rPr>
                <w:rFonts w:ascii="Arial" w:hAnsi="Arial" w:cs="Arial"/>
                <w:shd w:val="clear" w:color="auto" w:fill="FFFFFF"/>
              </w:rPr>
              <w:br/>
            </w:r>
          </w:p>
        </w:tc>
        <w:tc>
          <w:tcPr>
            <w:tcW w:w="2533" w:type="dxa"/>
          </w:tcPr>
          <w:p w14:paraId="05DFCDFE" w14:textId="77777777" w:rsidR="00EC73D7" w:rsidRPr="00466086" w:rsidRDefault="00EC73D7">
            <w:pPr>
              <w:pStyle w:val="Compact"/>
              <w:rPr>
                <w:rFonts w:ascii="Arial" w:hAnsi="Arial" w:cs="Arial"/>
              </w:rPr>
            </w:pPr>
          </w:p>
        </w:tc>
      </w:tr>
      <w:tr w:rsidR="00B9708E" w:rsidRPr="00466086" w14:paraId="52717FA4" w14:textId="77777777" w:rsidTr="00DE1097">
        <w:tc>
          <w:tcPr>
            <w:tcW w:w="740" w:type="dxa"/>
          </w:tcPr>
          <w:p w14:paraId="51552FA2" w14:textId="77777777" w:rsidR="00EC73D7" w:rsidRPr="00466086" w:rsidRDefault="00000000">
            <w:pPr>
              <w:pStyle w:val="Compact"/>
              <w:rPr>
                <w:rFonts w:ascii="Arial" w:hAnsi="Arial" w:cs="Arial"/>
              </w:rPr>
            </w:pPr>
            <w:r w:rsidRPr="00466086">
              <w:rPr>
                <w:rFonts w:ascii="Arial" w:hAnsi="Arial" w:cs="Arial"/>
              </w:rPr>
              <w:t>3.2</w:t>
            </w:r>
          </w:p>
        </w:tc>
        <w:tc>
          <w:tcPr>
            <w:tcW w:w="2372" w:type="dxa"/>
          </w:tcPr>
          <w:p w14:paraId="4C1148F8" w14:textId="70CF44EF" w:rsidR="00EC73D7" w:rsidRPr="00466086" w:rsidRDefault="00B81DD7">
            <w:pPr>
              <w:pStyle w:val="Compact"/>
              <w:rPr>
                <w:rFonts w:ascii="Arial" w:hAnsi="Arial" w:cs="Arial"/>
              </w:rPr>
            </w:pPr>
            <w:r w:rsidRPr="00466086">
              <w:rPr>
                <w:rFonts w:ascii="Arial" w:hAnsi="Arial" w:cs="Arial"/>
                <w:shd w:val="clear" w:color="auto" w:fill="FFFFFF"/>
              </w:rPr>
              <w:t xml:space="preserve">Reliably captures core invoice details such as vendor identity and </w:t>
            </w:r>
            <w:r w:rsidRPr="00466086">
              <w:rPr>
                <w:rFonts w:ascii="Arial" w:hAnsi="Arial" w:cs="Arial"/>
                <w:shd w:val="clear" w:color="auto" w:fill="FFFFFF"/>
              </w:rPr>
              <w:lastRenderedPageBreak/>
              <w:t>amounts across recurring formats</w:t>
            </w:r>
          </w:p>
        </w:tc>
        <w:tc>
          <w:tcPr>
            <w:tcW w:w="3512" w:type="dxa"/>
          </w:tcPr>
          <w:p w14:paraId="4E293A3E" w14:textId="316D93FD" w:rsidR="00EC73D7" w:rsidRPr="00466086" w:rsidRDefault="00B81DD7">
            <w:pPr>
              <w:pStyle w:val="Compact"/>
              <w:rPr>
                <w:rFonts w:ascii="Arial" w:hAnsi="Arial" w:cs="Arial"/>
              </w:rPr>
            </w:pPr>
            <w:r w:rsidRPr="00466086">
              <w:rPr>
                <w:rFonts w:ascii="Arial" w:hAnsi="Arial" w:cs="Arial"/>
                <w:shd w:val="clear" w:color="auto" w:fill="FFFFFF"/>
              </w:rPr>
              <w:lastRenderedPageBreak/>
              <w:t xml:space="preserve">When vendor names are misread or key values are extracted inconsistently, AP </w:t>
            </w:r>
            <w:proofErr w:type="gramStart"/>
            <w:r w:rsidRPr="00466086">
              <w:rPr>
                <w:rFonts w:ascii="Arial" w:hAnsi="Arial" w:cs="Arial"/>
                <w:shd w:val="clear" w:color="auto" w:fill="FFFFFF"/>
              </w:rPr>
              <w:t>has to</w:t>
            </w:r>
            <w:proofErr w:type="gramEnd"/>
            <w:r w:rsidRPr="00466086">
              <w:rPr>
                <w:rFonts w:ascii="Arial" w:hAnsi="Arial" w:cs="Arial"/>
                <w:shd w:val="clear" w:color="auto" w:fill="FFFFFF"/>
              </w:rPr>
              <w:t xml:space="preserve"> intervene on routine invoices that should be </w:t>
            </w:r>
            <w:proofErr w:type="gramStart"/>
            <w:r w:rsidRPr="00466086">
              <w:rPr>
                <w:rFonts w:ascii="Arial" w:hAnsi="Arial" w:cs="Arial"/>
                <w:shd w:val="clear" w:color="auto" w:fill="FFFFFF"/>
              </w:rPr>
              <w:t>low-</w:t>
            </w:r>
            <w:r w:rsidRPr="00466086">
              <w:rPr>
                <w:rFonts w:ascii="Arial" w:hAnsi="Arial" w:cs="Arial"/>
                <w:shd w:val="clear" w:color="auto" w:fill="FFFFFF"/>
              </w:rPr>
              <w:lastRenderedPageBreak/>
              <w:t>touch</w:t>
            </w:r>
            <w:proofErr w:type="gramEnd"/>
            <w:r w:rsidRPr="00466086">
              <w:rPr>
                <w:rFonts w:ascii="Arial" w:hAnsi="Arial" w:cs="Arial"/>
                <w:shd w:val="clear" w:color="auto" w:fill="FFFFFF"/>
              </w:rPr>
              <w:t xml:space="preserve">. That rework can also create downstream confusion when bills are created with the wrong vendor or incorrect values that need correction. </w:t>
            </w:r>
          </w:p>
        </w:tc>
        <w:tc>
          <w:tcPr>
            <w:tcW w:w="2533" w:type="dxa"/>
          </w:tcPr>
          <w:p w14:paraId="1EAC48CC" w14:textId="77777777" w:rsidR="00EC73D7" w:rsidRPr="00466086" w:rsidRDefault="00EC73D7">
            <w:pPr>
              <w:pStyle w:val="Compact"/>
              <w:rPr>
                <w:rFonts w:ascii="Arial" w:hAnsi="Arial" w:cs="Arial"/>
              </w:rPr>
            </w:pPr>
          </w:p>
        </w:tc>
      </w:tr>
      <w:tr w:rsidR="00B9708E" w:rsidRPr="00466086" w14:paraId="37118D53" w14:textId="77777777" w:rsidTr="00DE1097">
        <w:tc>
          <w:tcPr>
            <w:tcW w:w="740" w:type="dxa"/>
          </w:tcPr>
          <w:p w14:paraId="673AA5FF" w14:textId="77777777" w:rsidR="00EC73D7" w:rsidRPr="00466086" w:rsidRDefault="00000000">
            <w:pPr>
              <w:pStyle w:val="Compact"/>
              <w:rPr>
                <w:rFonts w:ascii="Arial" w:hAnsi="Arial" w:cs="Arial"/>
              </w:rPr>
            </w:pPr>
            <w:r w:rsidRPr="00466086">
              <w:rPr>
                <w:rFonts w:ascii="Arial" w:hAnsi="Arial" w:cs="Arial"/>
              </w:rPr>
              <w:t>3.3</w:t>
            </w:r>
          </w:p>
        </w:tc>
        <w:tc>
          <w:tcPr>
            <w:tcW w:w="2372" w:type="dxa"/>
          </w:tcPr>
          <w:p w14:paraId="4FFF054C" w14:textId="52CF35C0" w:rsidR="00EC73D7" w:rsidRPr="00466086" w:rsidRDefault="00B81DD7">
            <w:pPr>
              <w:pStyle w:val="Compact"/>
              <w:rPr>
                <w:rFonts w:ascii="Arial" w:hAnsi="Arial" w:cs="Arial"/>
              </w:rPr>
            </w:pPr>
            <w:r w:rsidRPr="00466086">
              <w:rPr>
                <w:rFonts w:ascii="Arial" w:hAnsi="Arial" w:cs="Arial"/>
              </w:rPr>
              <w:t>Validates extracted values against NetSuite lists and rules before bill creation</w:t>
            </w:r>
          </w:p>
        </w:tc>
        <w:tc>
          <w:tcPr>
            <w:tcW w:w="3512" w:type="dxa"/>
          </w:tcPr>
          <w:p w14:paraId="057B1067" w14:textId="5CDEE7DD" w:rsidR="00EC73D7" w:rsidRPr="00466086" w:rsidRDefault="00B81DD7">
            <w:pPr>
              <w:pStyle w:val="Compact"/>
              <w:rPr>
                <w:rFonts w:ascii="Arial" w:hAnsi="Arial" w:cs="Arial"/>
              </w:rPr>
            </w:pPr>
            <w:r w:rsidRPr="00466086">
              <w:rPr>
                <w:rFonts w:ascii="Arial" w:hAnsi="Arial" w:cs="Arial"/>
              </w:rPr>
              <w:t>Confirm how validation works for inactive vendors, mandatory fields, closed periods, invalid segments and subsidiary-specific restrictions and what the system does when a value fails validation. If validation is weak, bad values slip into bills and create cleanup work at close.</w:t>
            </w:r>
          </w:p>
        </w:tc>
        <w:tc>
          <w:tcPr>
            <w:tcW w:w="2533" w:type="dxa"/>
          </w:tcPr>
          <w:p w14:paraId="5D30E016" w14:textId="77777777" w:rsidR="00EC73D7" w:rsidRPr="00466086" w:rsidRDefault="00EC73D7">
            <w:pPr>
              <w:pStyle w:val="Compact"/>
              <w:rPr>
                <w:rFonts w:ascii="Arial" w:hAnsi="Arial" w:cs="Arial"/>
              </w:rPr>
            </w:pPr>
          </w:p>
        </w:tc>
      </w:tr>
    </w:tbl>
    <w:p w14:paraId="0595D6AB" w14:textId="12748793" w:rsidR="00EC73D7" w:rsidRPr="00466086" w:rsidRDefault="00EC73D7">
      <w:pPr>
        <w:rPr>
          <w:rFonts w:ascii="Arial" w:hAnsi="Arial" w:cs="Arial"/>
        </w:rPr>
      </w:pPr>
    </w:p>
    <w:p w14:paraId="6059242D" w14:textId="018B8E17" w:rsidR="00EC73D7" w:rsidRPr="00466086" w:rsidRDefault="00000000">
      <w:pPr>
        <w:pStyle w:val="Heading1"/>
        <w:rPr>
          <w:rFonts w:ascii="Arial" w:hAnsi="Arial" w:cs="Arial"/>
        </w:rPr>
      </w:pPr>
      <w:bookmarkStart w:id="10" w:name="X62529d50c32a1168c181fa30b936e2830bc549b"/>
      <w:bookmarkEnd w:id="9"/>
      <w:r w:rsidRPr="00466086">
        <w:rPr>
          <w:rFonts w:ascii="Arial" w:hAnsi="Arial" w:cs="Arial"/>
        </w:rPr>
        <w:t xml:space="preserve">Section 4: </w:t>
      </w:r>
      <w:r w:rsidR="00B81DD7" w:rsidRPr="00466086">
        <w:rPr>
          <w:rFonts w:ascii="Arial" w:hAnsi="Arial" w:cs="Arial"/>
        </w:rPr>
        <w:t>Field mapping and NetSuite data structure support</w:t>
      </w:r>
    </w:p>
    <w:p w14:paraId="56CDCC2E" w14:textId="4784B973" w:rsidR="00EC73D7" w:rsidRPr="00466086" w:rsidRDefault="00B81DD7">
      <w:pPr>
        <w:pStyle w:val="FirstParagraph"/>
        <w:rPr>
          <w:rFonts w:ascii="Arial" w:hAnsi="Arial" w:cs="Arial"/>
        </w:rPr>
      </w:pPr>
      <w:r w:rsidRPr="00466086">
        <w:rPr>
          <w:rFonts w:ascii="Arial" w:hAnsi="Arial" w:cs="Arial"/>
          <w:shd w:val="clear" w:color="auto" w:fill="FFFFFF"/>
        </w:rPr>
        <w:t xml:space="preserve">AP automation </w:t>
      </w:r>
      <w:proofErr w:type="gramStart"/>
      <w:r w:rsidRPr="00466086">
        <w:rPr>
          <w:rFonts w:ascii="Arial" w:hAnsi="Arial" w:cs="Arial"/>
          <w:shd w:val="clear" w:color="auto" w:fill="FFFFFF"/>
        </w:rPr>
        <w:t>has to</w:t>
      </w:r>
      <w:proofErr w:type="gramEnd"/>
      <w:r w:rsidRPr="00466086">
        <w:rPr>
          <w:rFonts w:ascii="Arial" w:hAnsi="Arial" w:cs="Arial"/>
          <w:shd w:val="clear" w:color="auto" w:fill="FFFFFF"/>
        </w:rPr>
        <w:t xml:space="preserve"> go beyond simply reading a PDF. It also </w:t>
      </w:r>
      <w:proofErr w:type="gramStart"/>
      <w:r w:rsidRPr="00466086">
        <w:rPr>
          <w:rFonts w:ascii="Arial" w:hAnsi="Arial" w:cs="Arial"/>
          <w:shd w:val="clear" w:color="auto" w:fill="FFFFFF"/>
        </w:rPr>
        <w:t>has to</w:t>
      </w:r>
      <w:proofErr w:type="gramEnd"/>
      <w:r w:rsidRPr="00466086">
        <w:rPr>
          <w:rFonts w:ascii="Arial" w:hAnsi="Arial" w:cs="Arial"/>
          <w:shd w:val="clear" w:color="auto" w:fill="FFFFFF"/>
        </w:rPr>
        <w:t xml:space="preserve"> populate the NetSuite fields your finance team relies on for coding, reporting and downstream workflows. If mapping is limited or brittle, automation shifts into manual field completion and cleanup, especially when custom fields and segments drive how your organization operates.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40"/>
        <w:gridCol w:w="2373"/>
        <w:gridCol w:w="3512"/>
        <w:gridCol w:w="2532"/>
      </w:tblGrid>
      <w:tr w:rsidR="00B9708E" w:rsidRPr="00466086" w14:paraId="3F69367E" w14:textId="77777777" w:rsidTr="00B81DD7">
        <w:trPr>
          <w:cnfStyle w:val="100000000000" w:firstRow="1" w:lastRow="0" w:firstColumn="0" w:lastColumn="0" w:oddVBand="0" w:evenVBand="0" w:oddHBand="0" w:evenHBand="0" w:firstRowFirstColumn="0" w:firstRowLastColumn="0" w:lastRowFirstColumn="0" w:lastRowLastColumn="0"/>
          <w:tblHeader/>
        </w:trPr>
        <w:tc>
          <w:tcPr>
            <w:tcW w:w="740" w:type="dxa"/>
          </w:tcPr>
          <w:p w14:paraId="301EE7E3" w14:textId="77777777" w:rsidR="00EC73D7" w:rsidRPr="00466086" w:rsidRDefault="00000000">
            <w:pPr>
              <w:pStyle w:val="Compact"/>
              <w:rPr>
                <w:rFonts w:ascii="Arial" w:hAnsi="Arial" w:cs="Arial"/>
              </w:rPr>
            </w:pPr>
            <w:r w:rsidRPr="00466086">
              <w:rPr>
                <w:rFonts w:ascii="Arial" w:hAnsi="Arial" w:cs="Arial"/>
              </w:rPr>
              <w:t>Ref</w:t>
            </w:r>
          </w:p>
        </w:tc>
        <w:tc>
          <w:tcPr>
            <w:tcW w:w="2373" w:type="dxa"/>
          </w:tcPr>
          <w:p w14:paraId="2CB2CDE0" w14:textId="77777777" w:rsidR="00EC73D7" w:rsidRPr="00466086" w:rsidRDefault="00000000">
            <w:pPr>
              <w:pStyle w:val="Compact"/>
              <w:rPr>
                <w:rFonts w:ascii="Arial" w:hAnsi="Arial" w:cs="Arial"/>
              </w:rPr>
            </w:pPr>
            <w:r w:rsidRPr="00466086">
              <w:rPr>
                <w:rFonts w:ascii="Arial" w:hAnsi="Arial" w:cs="Arial"/>
              </w:rPr>
              <w:t>Requirement</w:t>
            </w:r>
          </w:p>
        </w:tc>
        <w:tc>
          <w:tcPr>
            <w:tcW w:w="3512" w:type="dxa"/>
          </w:tcPr>
          <w:p w14:paraId="6290DF1E" w14:textId="77777777" w:rsidR="00EC73D7" w:rsidRPr="00466086" w:rsidRDefault="00000000">
            <w:pPr>
              <w:pStyle w:val="Compact"/>
              <w:rPr>
                <w:rFonts w:ascii="Arial" w:hAnsi="Arial" w:cs="Arial"/>
              </w:rPr>
            </w:pPr>
            <w:r w:rsidRPr="00466086">
              <w:rPr>
                <w:rFonts w:ascii="Arial" w:hAnsi="Arial" w:cs="Arial"/>
              </w:rPr>
              <w:t>Considerations</w:t>
            </w:r>
          </w:p>
        </w:tc>
        <w:tc>
          <w:tcPr>
            <w:tcW w:w="2532" w:type="dxa"/>
          </w:tcPr>
          <w:p w14:paraId="6ACC6C72"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2739A763" w14:textId="77777777" w:rsidTr="00B81DD7">
        <w:tc>
          <w:tcPr>
            <w:tcW w:w="740" w:type="dxa"/>
          </w:tcPr>
          <w:p w14:paraId="425C5AF6" w14:textId="77777777" w:rsidR="00EC73D7" w:rsidRPr="00466086" w:rsidRDefault="00000000">
            <w:pPr>
              <w:pStyle w:val="Compact"/>
              <w:rPr>
                <w:rFonts w:ascii="Arial" w:hAnsi="Arial" w:cs="Arial"/>
              </w:rPr>
            </w:pPr>
            <w:r w:rsidRPr="00466086">
              <w:rPr>
                <w:rFonts w:ascii="Arial" w:hAnsi="Arial" w:cs="Arial"/>
              </w:rPr>
              <w:t>4.1</w:t>
            </w:r>
          </w:p>
        </w:tc>
        <w:tc>
          <w:tcPr>
            <w:tcW w:w="2373" w:type="dxa"/>
          </w:tcPr>
          <w:p w14:paraId="6C1A6B60" w14:textId="7CB4B943" w:rsidR="00EC73D7" w:rsidRPr="00466086" w:rsidRDefault="00B81DD7">
            <w:pPr>
              <w:pStyle w:val="Compact"/>
              <w:rPr>
                <w:rFonts w:ascii="Arial" w:hAnsi="Arial" w:cs="Arial"/>
              </w:rPr>
            </w:pPr>
            <w:r w:rsidRPr="00466086">
              <w:rPr>
                <w:rFonts w:ascii="Arial" w:hAnsi="Arial" w:cs="Arial"/>
                <w:shd w:val="clear" w:color="auto" w:fill="FFFFFF"/>
              </w:rPr>
              <w:t>Supports full custom field mapping at both header and line levels, including custom segments</w:t>
            </w:r>
          </w:p>
        </w:tc>
        <w:tc>
          <w:tcPr>
            <w:tcW w:w="3512" w:type="dxa"/>
          </w:tcPr>
          <w:p w14:paraId="4C96442D" w14:textId="6397F09E" w:rsidR="00EC73D7" w:rsidRPr="00466086" w:rsidRDefault="00B81DD7">
            <w:pPr>
              <w:pStyle w:val="Compact"/>
              <w:rPr>
                <w:rFonts w:ascii="Arial" w:hAnsi="Arial" w:cs="Arial"/>
              </w:rPr>
            </w:pPr>
            <w:r w:rsidRPr="00466086">
              <w:rPr>
                <w:rFonts w:ascii="Arial" w:hAnsi="Arial" w:cs="Arial"/>
                <w:shd w:val="clear" w:color="auto" w:fill="FFFFFF"/>
              </w:rPr>
              <w:t>Many NetSuite environments rely on custom fields for departments, locations, classes and segments plus project, job or reference codes. When those fields are not populated during ingestion, AP teams manually enter them on every invoice, which reduces the practical value of capture automation.</w:t>
            </w:r>
          </w:p>
        </w:tc>
        <w:tc>
          <w:tcPr>
            <w:tcW w:w="2532" w:type="dxa"/>
          </w:tcPr>
          <w:p w14:paraId="3BC24764" w14:textId="77777777" w:rsidR="00EC73D7" w:rsidRPr="00466086" w:rsidRDefault="00EC73D7">
            <w:pPr>
              <w:pStyle w:val="Compact"/>
              <w:rPr>
                <w:rFonts w:ascii="Arial" w:hAnsi="Arial" w:cs="Arial"/>
              </w:rPr>
            </w:pPr>
          </w:p>
        </w:tc>
      </w:tr>
      <w:tr w:rsidR="00B9708E" w:rsidRPr="00466086" w14:paraId="6F736F0C" w14:textId="77777777" w:rsidTr="00B81DD7">
        <w:tc>
          <w:tcPr>
            <w:tcW w:w="740" w:type="dxa"/>
          </w:tcPr>
          <w:p w14:paraId="69D7558F" w14:textId="77777777" w:rsidR="00EC73D7" w:rsidRPr="00466086" w:rsidRDefault="00000000">
            <w:pPr>
              <w:pStyle w:val="Compact"/>
              <w:rPr>
                <w:rFonts w:ascii="Arial" w:hAnsi="Arial" w:cs="Arial"/>
              </w:rPr>
            </w:pPr>
            <w:r w:rsidRPr="00466086">
              <w:rPr>
                <w:rFonts w:ascii="Arial" w:hAnsi="Arial" w:cs="Arial"/>
              </w:rPr>
              <w:t>4.2</w:t>
            </w:r>
          </w:p>
        </w:tc>
        <w:tc>
          <w:tcPr>
            <w:tcW w:w="2373" w:type="dxa"/>
          </w:tcPr>
          <w:p w14:paraId="04FA2B91" w14:textId="7D886C18" w:rsidR="00EC73D7" w:rsidRPr="00466086" w:rsidRDefault="00B81DD7">
            <w:pPr>
              <w:pStyle w:val="Compact"/>
              <w:rPr>
                <w:rFonts w:ascii="Arial" w:hAnsi="Arial" w:cs="Arial"/>
              </w:rPr>
            </w:pPr>
            <w:r w:rsidRPr="00466086">
              <w:rPr>
                <w:rFonts w:ascii="Arial" w:hAnsi="Arial" w:cs="Arial"/>
                <w:shd w:val="clear" w:color="auto" w:fill="FFFFFF"/>
              </w:rPr>
              <w:t>Simplifies configuration for field extraction and mapping</w:t>
            </w:r>
          </w:p>
        </w:tc>
        <w:tc>
          <w:tcPr>
            <w:tcW w:w="3512" w:type="dxa"/>
          </w:tcPr>
          <w:p w14:paraId="0C65FA46" w14:textId="6F22ADD3" w:rsidR="00EC73D7" w:rsidRPr="00466086" w:rsidRDefault="00B81DD7">
            <w:pPr>
              <w:pStyle w:val="Compact"/>
              <w:rPr>
                <w:rFonts w:ascii="Arial" w:hAnsi="Arial" w:cs="Arial"/>
              </w:rPr>
            </w:pPr>
            <w:r w:rsidRPr="00466086">
              <w:rPr>
                <w:rFonts w:ascii="Arial" w:hAnsi="Arial" w:cs="Arial"/>
                <w:shd w:val="clear" w:color="auto" w:fill="FFFFFF"/>
              </w:rPr>
              <w:t xml:space="preserve">When configuration requires heavy technical effort, changes to fields, formats or vendor layouts take longer and can create ongoing </w:t>
            </w:r>
            <w:r w:rsidRPr="00466086">
              <w:rPr>
                <w:rFonts w:ascii="Arial" w:hAnsi="Arial" w:cs="Arial"/>
                <w:shd w:val="clear" w:color="auto" w:fill="FFFFFF"/>
              </w:rPr>
              <w:lastRenderedPageBreak/>
              <w:t xml:space="preserve">dependency on administrators or services, especially when those requirements shift midstream. </w:t>
            </w:r>
          </w:p>
        </w:tc>
        <w:tc>
          <w:tcPr>
            <w:tcW w:w="2532" w:type="dxa"/>
          </w:tcPr>
          <w:p w14:paraId="3F3F036E" w14:textId="77777777" w:rsidR="00EC73D7" w:rsidRPr="00466086" w:rsidRDefault="00EC73D7">
            <w:pPr>
              <w:pStyle w:val="Compact"/>
              <w:rPr>
                <w:rFonts w:ascii="Arial" w:hAnsi="Arial" w:cs="Arial"/>
              </w:rPr>
            </w:pPr>
          </w:p>
        </w:tc>
      </w:tr>
      <w:tr w:rsidR="00B9708E" w:rsidRPr="00466086" w14:paraId="4B7011FC" w14:textId="77777777" w:rsidTr="00B81DD7">
        <w:tc>
          <w:tcPr>
            <w:tcW w:w="740" w:type="dxa"/>
          </w:tcPr>
          <w:p w14:paraId="3A780244" w14:textId="77777777" w:rsidR="00EC73D7" w:rsidRPr="00466086" w:rsidRDefault="00000000">
            <w:pPr>
              <w:pStyle w:val="Compact"/>
              <w:rPr>
                <w:rFonts w:ascii="Arial" w:hAnsi="Arial" w:cs="Arial"/>
              </w:rPr>
            </w:pPr>
            <w:r w:rsidRPr="00466086">
              <w:rPr>
                <w:rFonts w:ascii="Arial" w:hAnsi="Arial" w:cs="Arial"/>
              </w:rPr>
              <w:t>4.3</w:t>
            </w:r>
          </w:p>
        </w:tc>
        <w:tc>
          <w:tcPr>
            <w:tcW w:w="2373" w:type="dxa"/>
          </w:tcPr>
          <w:p w14:paraId="28FBBB8D" w14:textId="49317215" w:rsidR="00EC73D7" w:rsidRPr="00466086" w:rsidRDefault="00B81DD7">
            <w:pPr>
              <w:pStyle w:val="Compact"/>
              <w:rPr>
                <w:rFonts w:ascii="Arial" w:hAnsi="Arial" w:cs="Arial"/>
              </w:rPr>
            </w:pPr>
            <w:r w:rsidRPr="00466086">
              <w:rPr>
                <w:rFonts w:ascii="Arial" w:hAnsi="Arial" w:cs="Arial"/>
                <w:shd w:val="clear" w:color="auto" w:fill="FFFFFF"/>
              </w:rPr>
              <w:t>Learns preferred mappings over time to reduce repeat corrections for recurring vendors</w:t>
            </w:r>
          </w:p>
        </w:tc>
        <w:tc>
          <w:tcPr>
            <w:tcW w:w="3512" w:type="dxa"/>
          </w:tcPr>
          <w:p w14:paraId="5C56E9B0" w14:textId="00C55AF3" w:rsidR="00EC73D7" w:rsidRPr="00466086" w:rsidRDefault="00B81DD7">
            <w:pPr>
              <w:pStyle w:val="Compact"/>
              <w:rPr>
                <w:rFonts w:ascii="Arial" w:hAnsi="Arial" w:cs="Arial"/>
              </w:rPr>
            </w:pPr>
            <w:r w:rsidRPr="00466086">
              <w:rPr>
                <w:rFonts w:ascii="Arial" w:hAnsi="Arial" w:cs="Arial"/>
                <w:shd w:val="clear" w:color="auto" w:fill="FFFFFF"/>
              </w:rPr>
              <w:t>If mappings don’t improve with use, your team will have to keep re-applying the same corrections on invoices for everything from preferred accounts and departments to locations, classes and segments.</w:t>
            </w:r>
          </w:p>
        </w:tc>
        <w:tc>
          <w:tcPr>
            <w:tcW w:w="2532" w:type="dxa"/>
          </w:tcPr>
          <w:p w14:paraId="0D4FDA22" w14:textId="77777777" w:rsidR="00EC73D7" w:rsidRPr="00466086" w:rsidRDefault="00EC73D7">
            <w:pPr>
              <w:pStyle w:val="Compact"/>
              <w:rPr>
                <w:rFonts w:ascii="Arial" w:hAnsi="Arial" w:cs="Arial"/>
              </w:rPr>
            </w:pPr>
          </w:p>
        </w:tc>
      </w:tr>
      <w:tr w:rsidR="00B9708E" w:rsidRPr="00466086" w14:paraId="5FFDF01A" w14:textId="77777777" w:rsidTr="00B81DD7">
        <w:tc>
          <w:tcPr>
            <w:tcW w:w="740" w:type="dxa"/>
          </w:tcPr>
          <w:p w14:paraId="256EBCE7" w14:textId="77777777" w:rsidR="00EC73D7" w:rsidRPr="00466086" w:rsidRDefault="00000000">
            <w:pPr>
              <w:pStyle w:val="Compact"/>
              <w:rPr>
                <w:rFonts w:ascii="Arial" w:hAnsi="Arial" w:cs="Arial"/>
              </w:rPr>
            </w:pPr>
            <w:r w:rsidRPr="00466086">
              <w:rPr>
                <w:rFonts w:ascii="Arial" w:hAnsi="Arial" w:cs="Arial"/>
              </w:rPr>
              <w:t>4.4</w:t>
            </w:r>
          </w:p>
        </w:tc>
        <w:tc>
          <w:tcPr>
            <w:tcW w:w="2373" w:type="dxa"/>
          </w:tcPr>
          <w:p w14:paraId="2451A0EB" w14:textId="25DE80A9" w:rsidR="00EC73D7" w:rsidRPr="00466086" w:rsidRDefault="00B81DD7">
            <w:pPr>
              <w:pStyle w:val="Compact"/>
              <w:rPr>
                <w:rFonts w:ascii="Arial" w:hAnsi="Arial" w:cs="Arial"/>
              </w:rPr>
            </w:pPr>
            <w:r w:rsidRPr="00466086">
              <w:rPr>
                <w:rFonts w:ascii="Arial" w:hAnsi="Arial" w:cs="Arial"/>
              </w:rPr>
              <w:t>Assigns the correct NetSuite subsidiary early and applies subsidiary rules through bill creation</w:t>
            </w:r>
          </w:p>
        </w:tc>
        <w:tc>
          <w:tcPr>
            <w:tcW w:w="3512" w:type="dxa"/>
          </w:tcPr>
          <w:p w14:paraId="6A971748" w14:textId="7E0BA970" w:rsidR="00EC73D7" w:rsidRPr="00466086" w:rsidRDefault="00B81DD7">
            <w:pPr>
              <w:pStyle w:val="Compact"/>
              <w:rPr>
                <w:rFonts w:ascii="Arial" w:hAnsi="Arial" w:cs="Arial"/>
              </w:rPr>
            </w:pPr>
            <w:r w:rsidRPr="00466086">
              <w:rPr>
                <w:rFonts w:ascii="Arial" w:hAnsi="Arial" w:cs="Arial"/>
              </w:rPr>
              <w:t>In multi-subsidiary environments, the subsidiary drives what values are valid and who can see the work. If subsidiary assignment is late or handled outside NetSuite, you can get mis-coded bills, failed validations or the wrong users seeing transactions – and you often find it during close.</w:t>
            </w:r>
          </w:p>
        </w:tc>
        <w:tc>
          <w:tcPr>
            <w:tcW w:w="2532" w:type="dxa"/>
          </w:tcPr>
          <w:p w14:paraId="41652309" w14:textId="77777777" w:rsidR="00EC73D7" w:rsidRPr="00466086" w:rsidRDefault="00EC73D7">
            <w:pPr>
              <w:pStyle w:val="Compact"/>
              <w:rPr>
                <w:rFonts w:ascii="Arial" w:hAnsi="Arial" w:cs="Arial"/>
              </w:rPr>
            </w:pPr>
          </w:p>
        </w:tc>
      </w:tr>
    </w:tbl>
    <w:p w14:paraId="6D08AC65" w14:textId="1B81D5FD" w:rsidR="00EC73D7" w:rsidRPr="00466086" w:rsidRDefault="00EC73D7">
      <w:pPr>
        <w:rPr>
          <w:rFonts w:ascii="Arial" w:hAnsi="Arial" w:cs="Arial"/>
        </w:rPr>
      </w:pPr>
    </w:p>
    <w:p w14:paraId="00CA7F21" w14:textId="3FA24739" w:rsidR="00EC73D7" w:rsidRPr="00466086" w:rsidRDefault="00000000">
      <w:pPr>
        <w:pStyle w:val="Heading1"/>
        <w:rPr>
          <w:rFonts w:ascii="Arial" w:hAnsi="Arial" w:cs="Arial"/>
        </w:rPr>
      </w:pPr>
      <w:bookmarkStart w:id="11" w:name="section-5-revenue-recognition"/>
      <w:bookmarkEnd w:id="10"/>
      <w:r w:rsidRPr="00466086">
        <w:rPr>
          <w:rFonts w:ascii="Arial" w:hAnsi="Arial" w:cs="Arial"/>
        </w:rPr>
        <w:t xml:space="preserve">Section 5: </w:t>
      </w:r>
      <w:r w:rsidR="00B81DD7" w:rsidRPr="00466086">
        <w:rPr>
          <w:rFonts w:ascii="Arial" w:hAnsi="Arial" w:cs="Arial"/>
        </w:rPr>
        <w:t>PO matching and exception handling</w:t>
      </w:r>
    </w:p>
    <w:p w14:paraId="50E5DD87" w14:textId="3345F6D4" w:rsidR="00EC73D7" w:rsidRPr="00466086" w:rsidRDefault="00B81DD7" w:rsidP="004D18C8">
      <w:pPr>
        <w:pStyle w:val="FirstParagraph"/>
        <w:rPr>
          <w:rFonts w:ascii="Arial" w:hAnsi="Arial" w:cs="Arial"/>
        </w:rPr>
      </w:pPr>
      <w:r w:rsidRPr="00466086">
        <w:rPr>
          <w:rFonts w:ascii="Arial" w:hAnsi="Arial" w:cs="Arial"/>
          <w:shd w:val="clear" w:color="auto" w:fill="FFFFFF"/>
        </w:rPr>
        <w:t>In a NetSuite environment, matching is where AP automation proves it can handle real purchasing scenarios. Basic matching may work for simple POs, then complexity shows up – multi-line POs, multiple locations or departments, staged deliveries, partial receipts, overages, discounts and negative lines.</w:t>
      </w:r>
      <w:r w:rsidRPr="00466086">
        <w:rPr>
          <w:rFonts w:ascii="Arial" w:hAnsi="Arial" w:cs="Arial"/>
        </w:rPr>
        <w:br/>
      </w:r>
      <w:r w:rsidRPr="00466086">
        <w:rPr>
          <w:rFonts w:ascii="Arial" w:hAnsi="Arial" w:cs="Arial"/>
        </w:rPr>
        <w:br/>
      </w:r>
      <w:r w:rsidRPr="00466086">
        <w:rPr>
          <w:rFonts w:ascii="Arial" w:hAnsi="Arial" w:cs="Arial"/>
          <w:shd w:val="clear" w:color="auto" w:fill="FFFFFF"/>
        </w:rPr>
        <w:t>These requirements focus on keeping matching accurate and predictable, so valid bills don’t get trapped in exceptions.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36"/>
        <w:gridCol w:w="2373"/>
        <w:gridCol w:w="3512"/>
        <w:gridCol w:w="2536"/>
      </w:tblGrid>
      <w:tr w:rsidR="00B9708E" w:rsidRPr="00466086" w14:paraId="6181F3EB" w14:textId="77777777" w:rsidTr="00B81DD7">
        <w:trPr>
          <w:cnfStyle w:val="100000000000" w:firstRow="1" w:lastRow="0" w:firstColumn="0" w:lastColumn="0" w:oddVBand="0" w:evenVBand="0" w:oddHBand="0" w:evenHBand="0" w:firstRowFirstColumn="0" w:firstRowLastColumn="0" w:lastRowFirstColumn="0" w:lastRowLastColumn="0"/>
          <w:tblHeader/>
        </w:trPr>
        <w:tc>
          <w:tcPr>
            <w:tcW w:w="736" w:type="dxa"/>
          </w:tcPr>
          <w:p w14:paraId="1D707291" w14:textId="77777777" w:rsidR="00EC73D7" w:rsidRPr="00466086" w:rsidRDefault="00000000">
            <w:pPr>
              <w:pStyle w:val="Compact"/>
              <w:rPr>
                <w:rFonts w:ascii="Arial" w:hAnsi="Arial" w:cs="Arial"/>
              </w:rPr>
            </w:pPr>
            <w:r w:rsidRPr="00466086">
              <w:rPr>
                <w:rFonts w:ascii="Arial" w:hAnsi="Arial" w:cs="Arial"/>
              </w:rPr>
              <w:t>Ref</w:t>
            </w:r>
          </w:p>
        </w:tc>
        <w:tc>
          <w:tcPr>
            <w:tcW w:w="2373" w:type="dxa"/>
          </w:tcPr>
          <w:p w14:paraId="7DE7D513" w14:textId="77777777" w:rsidR="00EC73D7" w:rsidRPr="00466086" w:rsidRDefault="00000000">
            <w:pPr>
              <w:pStyle w:val="Compact"/>
              <w:rPr>
                <w:rFonts w:ascii="Arial" w:hAnsi="Arial" w:cs="Arial"/>
              </w:rPr>
            </w:pPr>
            <w:r w:rsidRPr="00466086">
              <w:rPr>
                <w:rFonts w:ascii="Arial" w:hAnsi="Arial" w:cs="Arial"/>
              </w:rPr>
              <w:t>Requirement</w:t>
            </w:r>
          </w:p>
        </w:tc>
        <w:tc>
          <w:tcPr>
            <w:tcW w:w="3512" w:type="dxa"/>
          </w:tcPr>
          <w:p w14:paraId="41E64724" w14:textId="77777777" w:rsidR="00EC73D7" w:rsidRPr="00466086" w:rsidRDefault="00000000">
            <w:pPr>
              <w:pStyle w:val="Compact"/>
              <w:rPr>
                <w:rFonts w:ascii="Arial" w:hAnsi="Arial" w:cs="Arial"/>
              </w:rPr>
            </w:pPr>
            <w:r w:rsidRPr="00466086">
              <w:rPr>
                <w:rFonts w:ascii="Arial" w:hAnsi="Arial" w:cs="Arial"/>
              </w:rPr>
              <w:t>Considerations</w:t>
            </w:r>
          </w:p>
        </w:tc>
        <w:tc>
          <w:tcPr>
            <w:tcW w:w="2536" w:type="dxa"/>
          </w:tcPr>
          <w:p w14:paraId="3A44190E"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2ACECDB6" w14:textId="77777777" w:rsidTr="00B81DD7">
        <w:tc>
          <w:tcPr>
            <w:tcW w:w="736" w:type="dxa"/>
          </w:tcPr>
          <w:p w14:paraId="5A58D94A" w14:textId="3649F867" w:rsidR="004A7F74" w:rsidRPr="00466086" w:rsidRDefault="004A7F74" w:rsidP="004A7F74">
            <w:pPr>
              <w:pStyle w:val="Compact"/>
              <w:rPr>
                <w:rFonts w:ascii="Arial" w:hAnsi="Arial" w:cs="Arial"/>
              </w:rPr>
            </w:pPr>
            <w:r w:rsidRPr="00466086">
              <w:rPr>
                <w:rFonts w:ascii="Arial" w:hAnsi="Arial" w:cs="Arial"/>
              </w:rPr>
              <w:t>5.1</w:t>
            </w:r>
          </w:p>
        </w:tc>
        <w:tc>
          <w:tcPr>
            <w:tcW w:w="2373" w:type="dxa"/>
          </w:tcPr>
          <w:p w14:paraId="1D94D682" w14:textId="5529F409" w:rsidR="004A7F74" w:rsidRPr="00466086" w:rsidRDefault="00B81DD7" w:rsidP="004A7F74">
            <w:pPr>
              <w:pStyle w:val="Compact"/>
              <w:rPr>
                <w:rFonts w:ascii="Arial" w:hAnsi="Arial" w:cs="Arial"/>
              </w:rPr>
            </w:pPr>
            <w:r w:rsidRPr="00466086">
              <w:rPr>
                <w:rFonts w:ascii="Arial" w:hAnsi="Arial" w:cs="Arial"/>
                <w:shd w:val="clear" w:color="auto" w:fill="FFFFFF"/>
              </w:rPr>
              <w:t>Supports line-level 2-way and 3-way PO matching</w:t>
            </w:r>
          </w:p>
        </w:tc>
        <w:tc>
          <w:tcPr>
            <w:tcW w:w="3512" w:type="dxa"/>
          </w:tcPr>
          <w:p w14:paraId="71F5FEE8" w14:textId="1AD3BA96" w:rsidR="004A7F74" w:rsidRPr="00466086" w:rsidRDefault="00B81DD7" w:rsidP="004A7F74">
            <w:pPr>
              <w:pStyle w:val="Compact"/>
              <w:rPr>
                <w:rFonts w:ascii="Arial" w:hAnsi="Arial" w:cs="Arial"/>
              </w:rPr>
            </w:pPr>
            <w:r w:rsidRPr="00466086">
              <w:rPr>
                <w:rFonts w:ascii="Arial" w:hAnsi="Arial" w:cs="Arial"/>
                <w:shd w:val="clear" w:color="auto" w:fill="FFFFFF"/>
              </w:rPr>
              <w:t xml:space="preserve">If matching is limited or header-level only, bills tied to multi-line POs often end up as exceptions. That pushes you into manual reconciliation and exception cleanup, especially </w:t>
            </w:r>
            <w:r w:rsidRPr="00466086">
              <w:rPr>
                <w:rFonts w:ascii="Arial" w:hAnsi="Arial" w:cs="Arial"/>
                <w:shd w:val="clear" w:color="auto" w:fill="FFFFFF"/>
              </w:rPr>
              <w:lastRenderedPageBreak/>
              <w:t>when line detail drives coding or downstream routing.</w:t>
            </w:r>
          </w:p>
        </w:tc>
        <w:tc>
          <w:tcPr>
            <w:tcW w:w="2536" w:type="dxa"/>
          </w:tcPr>
          <w:p w14:paraId="054107A4" w14:textId="77777777" w:rsidR="004A7F74" w:rsidRPr="00466086" w:rsidRDefault="004A7F74" w:rsidP="004A7F74">
            <w:pPr>
              <w:pStyle w:val="Compact"/>
              <w:rPr>
                <w:rFonts w:ascii="Arial" w:hAnsi="Arial" w:cs="Arial"/>
              </w:rPr>
            </w:pPr>
          </w:p>
        </w:tc>
      </w:tr>
      <w:tr w:rsidR="00B9708E" w:rsidRPr="00466086" w14:paraId="70608496" w14:textId="77777777" w:rsidTr="00B81DD7">
        <w:tc>
          <w:tcPr>
            <w:tcW w:w="736" w:type="dxa"/>
          </w:tcPr>
          <w:p w14:paraId="54FC593C" w14:textId="625F0FFB" w:rsidR="004A7F74" w:rsidRPr="00466086" w:rsidRDefault="004A7F74" w:rsidP="004A7F74">
            <w:pPr>
              <w:pStyle w:val="Compact"/>
              <w:rPr>
                <w:rFonts w:ascii="Arial" w:hAnsi="Arial" w:cs="Arial"/>
              </w:rPr>
            </w:pPr>
            <w:r w:rsidRPr="00466086">
              <w:rPr>
                <w:rFonts w:ascii="Arial" w:hAnsi="Arial" w:cs="Arial"/>
              </w:rPr>
              <w:t>5.2</w:t>
            </w:r>
          </w:p>
        </w:tc>
        <w:tc>
          <w:tcPr>
            <w:tcW w:w="2373" w:type="dxa"/>
          </w:tcPr>
          <w:p w14:paraId="6FF82763" w14:textId="77C69208" w:rsidR="004A7F74" w:rsidRPr="00466086" w:rsidRDefault="00B81DD7" w:rsidP="004A7F74">
            <w:pPr>
              <w:pStyle w:val="Compact"/>
              <w:rPr>
                <w:rFonts w:ascii="Arial" w:hAnsi="Arial" w:cs="Arial"/>
              </w:rPr>
            </w:pPr>
            <w:r w:rsidRPr="00466086">
              <w:rPr>
                <w:rFonts w:ascii="Arial" w:hAnsi="Arial" w:cs="Arial"/>
                <w:shd w:val="clear" w:color="auto" w:fill="FFFFFF"/>
              </w:rPr>
              <w:t>Handles partial receipts and staged deliveries without frequent false match failures</w:t>
            </w:r>
          </w:p>
        </w:tc>
        <w:tc>
          <w:tcPr>
            <w:tcW w:w="3512" w:type="dxa"/>
          </w:tcPr>
          <w:p w14:paraId="1E0C03F1" w14:textId="6C9C2DD6" w:rsidR="004A7F74" w:rsidRPr="00466086" w:rsidRDefault="00B81DD7" w:rsidP="004A7F74">
            <w:pPr>
              <w:pStyle w:val="Compact"/>
              <w:rPr>
                <w:rFonts w:ascii="Arial" w:hAnsi="Arial" w:cs="Arial"/>
              </w:rPr>
            </w:pPr>
            <w:r w:rsidRPr="00466086">
              <w:rPr>
                <w:rFonts w:ascii="Arial" w:hAnsi="Arial" w:cs="Arial"/>
                <w:shd w:val="clear" w:color="auto" w:fill="FFFFFF"/>
              </w:rPr>
              <w:t>Partial receipts are common in NetSuite. A vendor can bill before all item receipts are posted or bill across multiple shipments. If matching logic treats those timing gaps as hard failures, valid bills get trapped in exceptions. Your team ends up clearing them through manual review. Your list of workarounds grows.</w:t>
            </w:r>
          </w:p>
        </w:tc>
        <w:tc>
          <w:tcPr>
            <w:tcW w:w="2536" w:type="dxa"/>
          </w:tcPr>
          <w:p w14:paraId="4DFFFB82" w14:textId="77777777" w:rsidR="004A7F74" w:rsidRPr="00466086" w:rsidRDefault="004A7F74" w:rsidP="004A7F74">
            <w:pPr>
              <w:pStyle w:val="Compact"/>
              <w:rPr>
                <w:rFonts w:ascii="Arial" w:hAnsi="Arial" w:cs="Arial"/>
              </w:rPr>
            </w:pPr>
          </w:p>
        </w:tc>
      </w:tr>
      <w:tr w:rsidR="00B9708E" w:rsidRPr="00466086" w14:paraId="2D8D6E7E" w14:textId="77777777" w:rsidTr="00B81DD7">
        <w:tc>
          <w:tcPr>
            <w:tcW w:w="736" w:type="dxa"/>
          </w:tcPr>
          <w:p w14:paraId="312AA45D" w14:textId="3147122C" w:rsidR="004A7F74" w:rsidRPr="00466086" w:rsidRDefault="004A7F74" w:rsidP="004A7F74">
            <w:pPr>
              <w:pStyle w:val="Compact"/>
              <w:rPr>
                <w:rFonts w:ascii="Arial" w:hAnsi="Arial" w:cs="Arial"/>
              </w:rPr>
            </w:pPr>
            <w:r w:rsidRPr="00466086">
              <w:rPr>
                <w:rFonts w:ascii="Arial" w:hAnsi="Arial" w:cs="Arial"/>
              </w:rPr>
              <w:t>5.3</w:t>
            </w:r>
          </w:p>
        </w:tc>
        <w:tc>
          <w:tcPr>
            <w:tcW w:w="2373" w:type="dxa"/>
          </w:tcPr>
          <w:p w14:paraId="4BF05741" w14:textId="3CB76C7E" w:rsidR="004A7F74" w:rsidRPr="00466086" w:rsidRDefault="00B81DD7" w:rsidP="004A7F74">
            <w:pPr>
              <w:pStyle w:val="Compact"/>
              <w:rPr>
                <w:rFonts w:ascii="Arial" w:hAnsi="Arial" w:cs="Arial"/>
              </w:rPr>
            </w:pPr>
            <w:r w:rsidRPr="00466086">
              <w:rPr>
                <w:rFonts w:ascii="Arial" w:hAnsi="Arial" w:cs="Arial"/>
                <w:shd w:val="clear" w:color="auto" w:fill="FFFFFF"/>
              </w:rPr>
              <w:t>Supports configurable tolerance rules for matching</w:t>
            </w:r>
          </w:p>
        </w:tc>
        <w:tc>
          <w:tcPr>
            <w:tcW w:w="3512" w:type="dxa"/>
          </w:tcPr>
          <w:p w14:paraId="5E503FCA" w14:textId="0B740314" w:rsidR="004A7F74" w:rsidRPr="00466086" w:rsidRDefault="00B81DD7" w:rsidP="004A7F74">
            <w:pPr>
              <w:pStyle w:val="Compact"/>
              <w:rPr>
                <w:rFonts w:ascii="Arial" w:hAnsi="Arial" w:cs="Arial"/>
              </w:rPr>
            </w:pPr>
            <w:r w:rsidRPr="00466086">
              <w:rPr>
                <w:rFonts w:ascii="Arial" w:hAnsi="Arial" w:cs="Arial"/>
                <w:shd w:val="clear" w:color="auto" w:fill="FFFFFF"/>
              </w:rPr>
              <w:t>Without tolerance rules, small variances can generate exceptions that require manual handling. That work adds up fast – especially when vendors bill in stages or ship items across multiple deliveries.</w:t>
            </w:r>
          </w:p>
        </w:tc>
        <w:tc>
          <w:tcPr>
            <w:tcW w:w="2536" w:type="dxa"/>
          </w:tcPr>
          <w:p w14:paraId="47AC06CB" w14:textId="77777777" w:rsidR="004A7F74" w:rsidRPr="00466086" w:rsidRDefault="004A7F74" w:rsidP="004A7F74">
            <w:pPr>
              <w:pStyle w:val="Compact"/>
              <w:rPr>
                <w:rFonts w:ascii="Arial" w:hAnsi="Arial" w:cs="Arial"/>
              </w:rPr>
            </w:pPr>
          </w:p>
        </w:tc>
      </w:tr>
      <w:tr w:rsidR="00B9708E" w:rsidRPr="00466086" w14:paraId="476E94B4" w14:textId="77777777" w:rsidTr="00B81DD7">
        <w:tc>
          <w:tcPr>
            <w:tcW w:w="736" w:type="dxa"/>
          </w:tcPr>
          <w:p w14:paraId="62EDC6E7" w14:textId="0E089958" w:rsidR="004A7F74" w:rsidRPr="00466086" w:rsidRDefault="004A7F74" w:rsidP="004A7F74">
            <w:pPr>
              <w:pStyle w:val="Compact"/>
              <w:rPr>
                <w:rFonts w:ascii="Arial" w:hAnsi="Arial" w:cs="Arial"/>
              </w:rPr>
            </w:pPr>
            <w:r w:rsidRPr="00466086">
              <w:rPr>
                <w:rFonts w:ascii="Arial" w:eastAsia="Times New Roman" w:hAnsi="Arial" w:cs="Arial"/>
              </w:rPr>
              <w:t>5.4</w:t>
            </w:r>
          </w:p>
        </w:tc>
        <w:tc>
          <w:tcPr>
            <w:tcW w:w="2373" w:type="dxa"/>
          </w:tcPr>
          <w:p w14:paraId="56F481EE" w14:textId="688161FE" w:rsidR="004A7F74" w:rsidRPr="00466086" w:rsidRDefault="00B81DD7" w:rsidP="004A7F74">
            <w:pPr>
              <w:pStyle w:val="Compact"/>
              <w:rPr>
                <w:rFonts w:ascii="Arial" w:hAnsi="Arial" w:cs="Arial"/>
              </w:rPr>
            </w:pPr>
            <w:r w:rsidRPr="00466086">
              <w:rPr>
                <w:rFonts w:ascii="Arial" w:hAnsi="Arial" w:cs="Arial"/>
                <w:shd w:val="clear" w:color="auto" w:fill="FFFFFF"/>
              </w:rPr>
              <w:t>Handles complex PO scenarios such as multi-line POs and multi-department or multi-location purchasing</w:t>
            </w:r>
          </w:p>
        </w:tc>
        <w:tc>
          <w:tcPr>
            <w:tcW w:w="3512" w:type="dxa"/>
          </w:tcPr>
          <w:p w14:paraId="7D296485" w14:textId="0C18AFBD" w:rsidR="004A7F74" w:rsidRPr="00466086" w:rsidRDefault="00B81DD7" w:rsidP="004A7F74">
            <w:pPr>
              <w:pStyle w:val="Compact"/>
              <w:rPr>
                <w:rFonts w:ascii="Arial" w:hAnsi="Arial" w:cs="Arial"/>
              </w:rPr>
            </w:pPr>
            <w:r w:rsidRPr="00466086">
              <w:rPr>
                <w:rFonts w:ascii="Arial" w:hAnsi="Arial" w:cs="Arial"/>
                <w:shd w:val="clear" w:color="auto" w:fill="FFFFFF"/>
              </w:rPr>
              <w:t>Real POs aren’t always clean. Lines can map to different departments, locations or subsidiaries and invoices do not always mirror the PO structure line for line. If matching can’t handle those realities, AP ends up splitting bills, adjusting coding by hand, overriding exceptions to move work forward.</w:t>
            </w:r>
          </w:p>
        </w:tc>
        <w:tc>
          <w:tcPr>
            <w:tcW w:w="2536" w:type="dxa"/>
          </w:tcPr>
          <w:p w14:paraId="38023316" w14:textId="77777777" w:rsidR="004A7F74" w:rsidRPr="00466086" w:rsidRDefault="004A7F74" w:rsidP="004A7F74">
            <w:pPr>
              <w:pStyle w:val="Compact"/>
              <w:rPr>
                <w:rFonts w:ascii="Arial" w:hAnsi="Arial" w:cs="Arial"/>
              </w:rPr>
            </w:pPr>
          </w:p>
        </w:tc>
      </w:tr>
      <w:tr w:rsidR="00B9708E" w:rsidRPr="00466086" w14:paraId="16AFE5E4" w14:textId="77777777" w:rsidTr="00B81DD7">
        <w:tc>
          <w:tcPr>
            <w:tcW w:w="736" w:type="dxa"/>
          </w:tcPr>
          <w:p w14:paraId="1EA61F51" w14:textId="2B52EB77" w:rsidR="004A7F74" w:rsidRPr="00466086" w:rsidRDefault="004A7F74" w:rsidP="004A7F74">
            <w:pPr>
              <w:pStyle w:val="Compact"/>
              <w:rPr>
                <w:rFonts w:ascii="Arial" w:hAnsi="Arial" w:cs="Arial"/>
              </w:rPr>
            </w:pPr>
            <w:r w:rsidRPr="00466086">
              <w:rPr>
                <w:rFonts w:ascii="Arial" w:eastAsia="Times New Roman" w:hAnsi="Arial" w:cs="Arial"/>
              </w:rPr>
              <w:t>5.5</w:t>
            </w:r>
          </w:p>
        </w:tc>
        <w:tc>
          <w:tcPr>
            <w:tcW w:w="2373" w:type="dxa"/>
          </w:tcPr>
          <w:p w14:paraId="660C37B9" w14:textId="6AB46409" w:rsidR="004A7F74" w:rsidRPr="00466086" w:rsidRDefault="00B81DD7" w:rsidP="004A7F74">
            <w:pPr>
              <w:pStyle w:val="Compact"/>
              <w:rPr>
                <w:rFonts w:ascii="Arial" w:hAnsi="Arial" w:cs="Arial"/>
              </w:rPr>
            </w:pPr>
            <w:r w:rsidRPr="00466086">
              <w:rPr>
                <w:rFonts w:ascii="Arial" w:hAnsi="Arial" w:cs="Arial"/>
                <w:shd w:val="clear" w:color="auto" w:fill="FFFFFF"/>
              </w:rPr>
              <w:t>Handles common edge cases that trigger match failures, including overages, discounts and negative lines</w:t>
            </w:r>
          </w:p>
        </w:tc>
        <w:tc>
          <w:tcPr>
            <w:tcW w:w="3512" w:type="dxa"/>
          </w:tcPr>
          <w:p w14:paraId="7DC2911D" w14:textId="6FBAAF6C" w:rsidR="004A7F74" w:rsidRPr="00466086" w:rsidRDefault="00B81DD7" w:rsidP="00B81DD7">
            <w:pPr>
              <w:rPr>
                <w:rFonts w:ascii="Arial" w:hAnsi="Arial" w:cs="Arial"/>
                <w:shd w:val="clear" w:color="auto" w:fill="FFFFFF"/>
              </w:rPr>
            </w:pPr>
            <w:r w:rsidRPr="00466086">
              <w:rPr>
                <w:rFonts w:ascii="Arial" w:hAnsi="Arial" w:cs="Arial"/>
                <w:shd w:val="clear" w:color="auto" w:fill="FFFFFF"/>
              </w:rPr>
              <w:t xml:space="preserve">If overages, discounts or negative lines frequently break matching, you spend time resolving exceptions that are valid in context. That can delay bill posting and create catch-up work at close. </w:t>
            </w:r>
          </w:p>
        </w:tc>
        <w:tc>
          <w:tcPr>
            <w:tcW w:w="2536" w:type="dxa"/>
          </w:tcPr>
          <w:p w14:paraId="2C460EBB" w14:textId="77777777" w:rsidR="004A7F74" w:rsidRPr="00466086" w:rsidRDefault="004A7F74" w:rsidP="004A7F74">
            <w:pPr>
              <w:pStyle w:val="Compact"/>
              <w:rPr>
                <w:rFonts w:ascii="Arial" w:hAnsi="Arial" w:cs="Arial"/>
              </w:rPr>
            </w:pPr>
          </w:p>
        </w:tc>
      </w:tr>
    </w:tbl>
    <w:p w14:paraId="7E20DCE3" w14:textId="6A7D33EC" w:rsidR="00EC73D7" w:rsidRPr="00466086" w:rsidRDefault="00EC73D7">
      <w:pPr>
        <w:rPr>
          <w:rFonts w:ascii="Arial" w:hAnsi="Arial" w:cs="Arial"/>
        </w:rPr>
      </w:pPr>
    </w:p>
    <w:p w14:paraId="4DC6FDC8" w14:textId="4C88C5A6" w:rsidR="00EC73D7" w:rsidRPr="00466086" w:rsidRDefault="00000000">
      <w:pPr>
        <w:pStyle w:val="Heading1"/>
        <w:rPr>
          <w:rFonts w:ascii="Arial" w:hAnsi="Arial" w:cs="Arial"/>
        </w:rPr>
      </w:pPr>
      <w:bookmarkStart w:id="12" w:name="X64660865f4cf52238a670c90abaa3fb6a48e322"/>
      <w:bookmarkEnd w:id="11"/>
      <w:r w:rsidRPr="00466086">
        <w:rPr>
          <w:rFonts w:ascii="Arial" w:hAnsi="Arial" w:cs="Arial"/>
        </w:rPr>
        <w:lastRenderedPageBreak/>
        <w:t xml:space="preserve">Section 6: </w:t>
      </w:r>
      <w:r w:rsidR="00B81DD7" w:rsidRPr="00466086">
        <w:rPr>
          <w:rFonts w:ascii="Arial" w:hAnsi="Arial" w:cs="Arial"/>
        </w:rPr>
        <w:t>Global readiness and compliance</w:t>
      </w:r>
    </w:p>
    <w:p w14:paraId="3F8D0D96" w14:textId="1A8CAE6F" w:rsidR="00EC73D7" w:rsidRPr="00466086" w:rsidRDefault="00B81DD7" w:rsidP="00B9708E">
      <w:pPr>
        <w:pStyle w:val="BodyText"/>
        <w:rPr>
          <w:rFonts w:ascii="Arial" w:hAnsi="Arial" w:cs="Arial"/>
        </w:rPr>
      </w:pPr>
      <w:r w:rsidRPr="00466086">
        <w:rPr>
          <w:rFonts w:ascii="Arial" w:hAnsi="Arial" w:cs="Arial"/>
          <w:shd w:val="clear" w:color="auto" w:fill="FFFFFF"/>
        </w:rPr>
        <w:t>When your AP automation software lacks the right currency, language, regional coverage or compliance features, your team will spend unnecessary time reviewing and correcting invoices after ingestion. That increases exception handling and creates catch-up work at close.</w:t>
      </w:r>
      <w:r w:rsidRPr="00466086">
        <w:rPr>
          <w:rFonts w:ascii="Arial" w:hAnsi="Arial" w:cs="Arial"/>
        </w:rPr>
        <w:br/>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55"/>
        <w:gridCol w:w="2373"/>
        <w:gridCol w:w="3498"/>
        <w:gridCol w:w="2531"/>
      </w:tblGrid>
      <w:tr w:rsidR="00B9708E" w:rsidRPr="00466086" w14:paraId="62A0447C" w14:textId="77777777" w:rsidTr="00B81DD7">
        <w:trPr>
          <w:cnfStyle w:val="100000000000" w:firstRow="1" w:lastRow="0" w:firstColumn="0" w:lastColumn="0" w:oddVBand="0" w:evenVBand="0" w:oddHBand="0" w:evenHBand="0" w:firstRowFirstColumn="0" w:firstRowLastColumn="0" w:lastRowFirstColumn="0" w:lastRowLastColumn="0"/>
          <w:tblHeader/>
        </w:trPr>
        <w:tc>
          <w:tcPr>
            <w:tcW w:w="755" w:type="dxa"/>
          </w:tcPr>
          <w:p w14:paraId="214F101B" w14:textId="77777777" w:rsidR="00EC73D7" w:rsidRPr="00466086" w:rsidRDefault="00000000">
            <w:pPr>
              <w:pStyle w:val="Compact"/>
              <w:rPr>
                <w:rFonts w:ascii="Arial" w:hAnsi="Arial" w:cs="Arial"/>
              </w:rPr>
            </w:pPr>
            <w:r w:rsidRPr="00466086">
              <w:rPr>
                <w:rFonts w:ascii="Arial" w:hAnsi="Arial" w:cs="Arial"/>
              </w:rPr>
              <w:t>Ref</w:t>
            </w:r>
          </w:p>
        </w:tc>
        <w:tc>
          <w:tcPr>
            <w:tcW w:w="2373" w:type="dxa"/>
          </w:tcPr>
          <w:p w14:paraId="7129A2C3" w14:textId="77777777" w:rsidR="00EC73D7" w:rsidRPr="00466086" w:rsidRDefault="00000000">
            <w:pPr>
              <w:pStyle w:val="Compact"/>
              <w:rPr>
                <w:rFonts w:ascii="Arial" w:hAnsi="Arial" w:cs="Arial"/>
              </w:rPr>
            </w:pPr>
            <w:r w:rsidRPr="00466086">
              <w:rPr>
                <w:rFonts w:ascii="Arial" w:hAnsi="Arial" w:cs="Arial"/>
              </w:rPr>
              <w:t>Requirement</w:t>
            </w:r>
          </w:p>
        </w:tc>
        <w:tc>
          <w:tcPr>
            <w:tcW w:w="3498" w:type="dxa"/>
          </w:tcPr>
          <w:p w14:paraId="65561391" w14:textId="77777777" w:rsidR="00EC73D7" w:rsidRPr="00466086" w:rsidRDefault="00000000">
            <w:pPr>
              <w:pStyle w:val="Compact"/>
              <w:rPr>
                <w:rFonts w:ascii="Arial" w:hAnsi="Arial" w:cs="Arial"/>
              </w:rPr>
            </w:pPr>
            <w:r w:rsidRPr="00466086">
              <w:rPr>
                <w:rFonts w:ascii="Arial" w:hAnsi="Arial" w:cs="Arial"/>
              </w:rPr>
              <w:t>Considerations</w:t>
            </w:r>
          </w:p>
        </w:tc>
        <w:tc>
          <w:tcPr>
            <w:tcW w:w="2531" w:type="dxa"/>
          </w:tcPr>
          <w:p w14:paraId="32397DEA"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5E74B72F" w14:textId="77777777" w:rsidTr="00B81DD7">
        <w:tc>
          <w:tcPr>
            <w:tcW w:w="755" w:type="dxa"/>
          </w:tcPr>
          <w:p w14:paraId="2AA139FF" w14:textId="4E62CE66" w:rsidR="00B553E6" w:rsidRPr="00466086" w:rsidRDefault="00B553E6" w:rsidP="00B553E6">
            <w:pPr>
              <w:pStyle w:val="Compact"/>
              <w:rPr>
                <w:rFonts w:ascii="Arial" w:hAnsi="Arial" w:cs="Arial"/>
              </w:rPr>
            </w:pPr>
            <w:r w:rsidRPr="00466086">
              <w:rPr>
                <w:rFonts w:ascii="Arial" w:hAnsi="Arial" w:cs="Arial"/>
              </w:rPr>
              <w:t>6.1</w:t>
            </w:r>
          </w:p>
        </w:tc>
        <w:tc>
          <w:tcPr>
            <w:tcW w:w="2373" w:type="dxa"/>
          </w:tcPr>
          <w:p w14:paraId="063AC58E" w14:textId="5E61655D" w:rsidR="00B553E6" w:rsidRPr="00466086" w:rsidRDefault="00B81DD7" w:rsidP="00B553E6">
            <w:pPr>
              <w:pStyle w:val="Compact"/>
              <w:rPr>
                <w:rFonts w:ascii="Arial" w:hAnsi="Arial" w:cs="Arial"/>
              </w:rPr>
            </w:pPr>
            <w:r w:rsidRPr="00466086">
              <w:rPr>
                <w:rFonts w:ascii="Arial" w:hAnsi="Arial" w:cs="Arial"/>
                <w:shd w:val="clear" w:color="auto" w:fill="FFFFFF"/>
              </w:rPr>
              <w:t>Supports multi-currency invoice processing that aligns with your NetSuite configuration</w:t>
            </w:r>
          </w:p>
        </w:tc>
        <w:tc>
          <w:tcPr>
            <w:tcW w:w="3498" w:type="dxa"/>
          </w:tcPr>
          <w:p w14:paraId="17B98ADE" w14:textId="4D445F29" w:rsidR="00B553E6" w:rsidRPr="00466086" w:rsidRDefault="00B81DD7" w:rsidP="00B553E6">
            <w:pPr>
              <w:pStyle w:val="Compact"/>
              <w:rPr>
                <w:rFonts w:ascii="Arial" w:hAnsi="Arial" w:cs="Arial"/>
              </w:rPr>
            </w:pPr>
            <w:r w:rsidRPr="00466086">
              <w:rPr>
                <w:rFonts w:ascii="Arial" w:hAnsi="Arial" w:cs="Arial"/>
                <w:shd w:val="clear" w:color="auto" w:fill="FFFFFF"/>
              </w:rPr>
              <w:t>When currency handling is limited, invoices can require extra review or correction after ingestion. That creates inconsistent processing across entities and adds cleanup work during close.</w:t>
            </w:r>
          </w:p>
        </w:tc>
        <w:tc>
          <w:tcPr>
            <w:tcW w:w="2531" w:type="dxa"/>
          </w:tcPr>
          <w:p w14:paraId="4411158E" w14:textId="77777777" w:rsidR="00B553E6" w:rsidRPr="00466086" w:rsidRDefault="00B553E6" w:rsidP="00B553E6">
            <w:pPr>
              <w:pStyle w:val="Compact"/>
              <w:rPr>
                <w:rFonts w:ascii="Arial" w:hAnsi="Arial" w:cs="Arial"/>
              </w:rPr>
            </w:pPr>
          </w:p>
        </w:tc>
      </w:tr>
      <w:tr w:rsidR="00B9708E" w:rsidRPr="00466086" w14:paraId="44542BA0" w14:textId="77777777" w:rsidTr="00B81DD7">
        <w:tc>
          <w:tcPr>
            <w:tcW w:w="755" w:type="dxa"/>
          </w:tcPr>
          <w:p w14:paraId="3D3C0A5D" w14:textId="7753D7A7" w:rsidR="00B553E6" w:rsidRPr="00466086" w:rsidRDefault="00B553E6" w:rsidP="00B553E6">
            <w:pPr>
              <w:pStyle w:val="Compact"/>
              <w:rPr>
                <w:rFonts w:ascii="Arial" w:hAnsi="Arial" w:cs="Arial"/>
              </w:rPr>
            </w:pPr>
            <w:r w:rsidRPr="00466086">
              <w:rPr>
                <w:rFonts w:ascii="Arial" w:hAnsi="Arial" w:cs="Arial"/>
              </w:rPr>
              <w:t>6.2</w:t>
            </w:r>
          </w:p>
        </w:tc>
        <w:tc>
          <w:tcPr>
            <w:tcW w:w="2373" w:type="dxa"/>
          </w:tcPr>
          <w:p w14:paraId="436673B7" w14:textId="5A771DC1" w:rsidR="00B553E6" w:rsidRPr="00466086" w:rsidRDefault="00B81DD7" w:rsidP="00B553E6">
            <w:pPr>
              <w:pStyle w:val="Compact"/>
              <w:rPr>
                <w:rFonts w:ascii="Arial" w:hAnsi="Arial" w:cs="Arial"/>
              </w:rPr>
            </w:pPr>
            <w:r w:rsidRPr="00466086">
              <w:rPr>
                <w:rFonts w:ascii="Arial" w:hAnsi="Arial" w:cs="Arial"/>
                <w:shd w:val="clear" w:color="auto" w:fill="FFFFFF"/>
              </w:rPr>
              <w:t>Supports multi-language invoice processing</w:t>
            </w:r>
          </w:p>
        </w:tc>
        <w:tc>
          <w:tcPr>
            <w:tcW w:w="3498" w:type="dxa"/>
          </w:tcPr>
          <w:p w14:paraId="4C721CD4" w14:textId="455FAF5E" w:rsidR="00B553E6" w:rsidRPr="00466086" w:rsidRDefault="00B81DD7" w:rsidP="00B553E6">
            <w:pPr>
              <w:pStyle w:val="Compact"/>
              <w:rPr>
                <w:rFonts w:ascii="Arial" w:hAnsi="Arial" w:cs="Arial"/>
              </w:rPr>
            </w:pPr>
            <w:r w:rsidRPr="00466086">
              <w:rPr>
                <w:rFonts w:ascii="Arial" w:hAnsi="Arial" w:cs="Arial"/>
                <w:shd w:val="clear" w:color="auto" w:fill="FFFFFF"/>
              </w:rPr>
              <w:t xml:space="preserve">If language coverage is constrained, AP </w:t>
            </w:r>
            <w:r w:rsidR="000543E0">
              <w:rPr>
                <w:rFonts w:ascii="Arial" w:hAnsi="Arial" w:cs="Arial"/>
                <w:shd w:val="clear" w:color="auto" w:fill="FFFFFF"/>
              </w:rPr>
              <w:t xml:space="preserve">teams </w:t>
            </w:r>
            <w:r w:rsidRPr="00466086">
              <w:rPr>
                <w:rFonts w:ascii="Arial" w:hAnsi="Arial" w:cs="Arial"/>
                <w:shd w:val="clear" w:color="auto" w:fill="FFFFFF"/>
              </w:rPr>
              <w:t>can become the translation layer. Interpreting fields, correcting supplier details and rekeying values that should have been captured automatically.</w:t>
            </w:r>
          </w:p>
        </w:tc>
        <w:tc>
          <w:tcPr>
            <w:tcW w:w="2531" w:type="dxa"/>
          </w:tcPr>
          <w:p w14:paraId="50C8D9B1" w14:textId="77777777" w:rsidR="00B553E6" w:rsidRPr="00466086" w:rsidRDefault="00B553E6" w:rsidP="00B553E6">
            <w:pPr>
              <w:pStyle w:val="Compact"/>
              <w:rPr>
                <w:rFonts w:ascii="Arial" w:hAnsi="Arial" w:cs="Arial"/>
              </w:rPr>
            </w:pPr>
          </w:p>
        </w:tc>
      </w:tr>
      <w:tr w:rsidR="00B9708E" w:rsidRPr="00466086" w14:paraId="628D6E52" w14:textId="77777777" w:rsidTr="00B81DD7">
        <w:tc>
          <w:tcPr>
            <w:tcW w:w="755" w:type="dxa"/>
          </w:tcPr>
          <w:p w14:paraId="01E6F310" w14:textId="4C8E58B5" w:rsidR="00B553E6" w:rsidRPr="00466086" w:rsidRDefault="00B553E6" w:rsidP="00B553E6">
            <w:pPr>
              <w:pStyle w:val="Compact"/>
              <w:rPr>
                <w:rFonts w:ascii="Arial" w:hAnsi="Arial" w:cs="Arial"/>
              </w:rPr>
            </w:pPr>
            <w:r w:rsidRPr="00466086">
              <w:rPr>
                <w:rFonts w:ascii="Arial" w:hAnsi="Arial" w:cs="Arial"/>
              </w:rPr>
              <w:t>6.3</w:t>
            </w:r>
          </w:p>
        </w:tc>
        <w:tc>
          <w:tcPr>
            <w:tcW w:w="2373" w:type="dxa"/>
          </w:tcPr>
          <w:p w14:paraId="14075DAB" w14:textId="602D2824" w:rsidR="00B553E6" w:rsidRPr="00466086" w:rsidRDefault="00B81DD7" w:rsidP="00B553E6">
            <w:pPr>
              <w:pStyle w:val="Compact"/>
              <w:rPr>
                <w:rFonts w:ascii="Arial" w:hAnsi="Arial" w:cs="Arial"/>
              </w:rPr>
            </w:pPr>
            <w:r w:rsidRPr="00466086">
              <w:rPr>
                <w:rFonts w:ascii="Arial" w:hAnsi="Arial" w:cs="Arial"/>
                <w:shd w:val="clear" w:color="auto" w:fill="FFFFFF"/>
              </w:rPr>
              <w:t>Supports regional processing without requiring additional NetSuite module dependencies</w:t>
            </w:r>
          </w:p>
        </w:tc>
        <w:tc>
          <w:tcPr>
            <w:tcW w:w="3498" w:type="dxa"/>
          </w:tcPr>
          <w:p w14:paraId="79A12D15" w14:textId="1843C69B" w:rsidR="00B553E6" w:rsidRPr="00466086" w:rsidRDefault="00B81DD7" w:rsidP="00B553E6">
            <w:pPr>
              <w:pStyle w:val="Compact"/>
              <w:rPr>
                <w:rFonts w:ascii="Arial" w:hAnsi="Arial" w:cs="Arial"/>
              </w:rPr>
            </w:pPr>
            <w:r w:rsidRPr="00466086">
              <w:rPr>
                <w:rFonts w:ascii="Arial" w:hAnsi="Arial" w:cs="Arial"/>
                <w:shd w:val="clear" w:color="auto" w:fill="FFFFFF"/>
              </w:rPr>
              <w:t>When international processing depends on a specific module, you can be blocked by your own NetSuite configuration. That risk grows as your footprint expands into regions with different tax and compliance approaches.</w:t>
            </w:r>
          </w:p>
        </w:tc>
        <w:tc>
          <w:tcPr>
            <w:tcW w:w="2531" w:type="dxa"/>
          </w:tcPr>
          <w:p w14:paraId="374B65CE" w14:textId="77777777" w:rsidR="00B553E6" w:rsidRPr="00466086" w:rsidRDefault="00B553E6" w:rsidP="00B553E6">
            <w:pPr>
              <w:pStyle w:val="Compact"/>
              <w:rPr>
                <w:rFonts w:ascii="Arial" w:hAnsi="Arial" w:cs="Arial"/>
              </w:rPr>
            </w:pPr>
          </w:p>
        </w:tc>
      </w:tr>
      <w:tr w:rsidR="00B9708E" w:rsidRPr="00466086" w14:paraId="455BD7CC" w14:textId="77777777" w:rsidTr="00B81DD7">
        <w:tc>
          <w:tcPr>
            <w:tcW w:w="755" w:type="dxa"/>
          </w:tcPr>
          <w:p w14:paraId="151225EB" w14:textId="737CD492" w:rsidR="00B553E6" w:rsidRPr="00466086" w:rsidRDefault="00B553E6" w:rsidP="00B553E6">
            <w:pPr>
              <w:pStyle w:val="Compact"/>
              <w:rPr>
                <w:rFonts w:ascii="Arial" w:hAnsi="Arial" w:cs="Arial"/>
              </w:rPr>
            </w:pPr>
            <w:r w:rsidRPr="00466086">
              <w:rPr>
                <w:rFonts w:ascii="Arial" w:hAnsi="Arial" w:cs="Arial"/>
              </w:rPr>
              <w:t>6.4</w:t>
            </w:r>
          </w:p>
        </w:tc>
        <w:tc>
          <w:tcPr>
            <w:tcW w:w="2373" w:type="dxa"/>
          </w:tcPr>
          <w:p w14:paraId="74456AFB" w14:textId="4E18981A" w:rsidR="00B553E6" w:rsidRPr="00466086" w:rsidRDefault="00B81DD7" w:rsidP="00B553E6">
            <w:pPr>
              <w:pStyle w:val="Compact"/>
              <w:rPr>
                <w:rFonts w:ascii="Arial" w:hAnsi="Arial" w:cs="Arial"/>
              </w:rPr>
            </w:pPr>
            <w:r w:rsidRPr="00466086">
              <w:rPr>
                <w:rFonts w:ascii="Arial" w:hAnsi="Arial" w:cs="Arial"/>
                <w:shd w:val="clear" w:color="auto" w:fill="FFFFFF"/>
              </w:rPr>
              <w:t>Supports structured e-invoicing without extensive added setup or third-party add-ons</w:t>
            </w:r>
          </w:p>
        </w:tc>
        <w:tc>
          <w:tcPr>
            <w:tcW w:w="3498" w:type="dxa"/>
          </w:tcPr>
          <w:p w14:paraId="26260B62" w14:textId="62167C40" w:rsidR="00B553E6" w:rsidRPr="00466086" w:rsidRDefault="00B81DD7" w:rsidP="00B553E6">
            <w:pPr>
              <w:pStyle w:val="Compact"/>
              <w:rPr>
                <w:rFonts w:ascii="Arial" w:hAnsi="Arial" w:cs="Arial"/>
              </w:rPr>
            </w:pPr>
            <w:r w:rsidRPr="00466086">
              <w:rPr>
                <w:rFonts w:ascii="Arial" w:hAnsi="Arial" w:cs="Arial"/>
              </w:rPr>
              <w:t>When e-invoicing requires extra products and configuration, standardization gets harder. More systems to manage and more exceptions to unwind when requirements change. Confirm which countries are covered, which formats are supported and how configuration updates work as rules evolve.</w:t>
            </w:r>
          </w:p>
        </w:tc>
        <w:tc>
          <w:tcPr>
            <w:tcW w:w="2531" w:type="dxa"/>
          </w:tcPr>
          <w:p w14:paraId="1C8F6D2B" w14:textId="77777777" w:rsidR="00B553E6" w:rsidRPr="00466086" w:rsidRDefault="00B553E6" w:rsidP="00B553E6">
            <w:pPr>
              <w:pStyle w:val="Compact"/>
              <w:rPr>
                <w:rFonts w:ascii="Arial" w:hAnsi="Arial" w:cs="Arial"/>
              </w:rPr>
            </w:pPr>
          </w:p>
        </w:tc>
      </w:tr>
    </w:tbl>
    <w:p w14:paraId="78A9D8C4" w14:textId="5548052E" w:rsidR="00EC73D7" w:rsidRPr="00466086" w:rsidRDefault="00EC73D7">
      <w:pPr>
        <w:rPr>
          <w:rFonts w:ascii="Arial" w:hAnsi="Arial" w:cs="Arial"/>
        </w:rPr>
      </w:pPr>
    </w:p>
    <w:p w14:paraId="26EDC247" w14:textId="5A61ED55" w:rsidR="00EC73D7" w:rsidRPr="00466086" w:rsidRDefault="00000000">
      <w:pPr>
        <w:pStyle w:val="Heading1"/>
        <w:rPr>
          <w:rFonts w:ascii="Arial" w:hAnsi="Arial" w:cs="Arial"/>
        </w:rPr>
      </w:pPr>
      <w:bookmarkStart w:id="13" w:name="section-7-futureproofing"/>
      <w:bookmarkEnd w:id="12"/>
      <w:r w:rsidRPr="00466086">
        <w:rPr>
          <w:rFonts w:ascii="Arial" w:hAnsi="Arial" w:cs="Arial"/>
        </w:rPr>
        <w:lastRenderedPageBreak/>
        <w:t xml:space="preserve">Section 7: </w:t>
      </w:r>
      <w:r w:rsidR="00B81DD7" w:rsidRPr="00466086">
        <w:rPr>
          <w:rFonts w:ascii="Arial" w:hAnsi="Arial" w:cs="Arial"/>
        </w:rPr>
        <w:t>Vendor onboarding and collaboration</w:t>
      </w:r>
    </w:p>
    <w:p w14:paraId="0A42E700" w14:textId="637D0FA3" w:rsidR="00EC73D7" w:rsidRPr="00466086" w:rsidRDefault="00B81DD7">
      <w:pPr>
        <w:pStyle w:val="FirstParagraph"/>
        <w:rPr>
          <w:rFonts w:ascii="Arial" w:hAnsi="Arial" w:cs="Arial"/>
        </w:rPr>
      </w:pPr>
      <w:r w:rsidRPr="00466086">
        <w:rPr>
          <w:rFonts w:ascii="Arial" w:hAnsi="Arial" w:cs="Arial"/>
          <w:shd w:val="clear" w:color="auto" w:fill="FFFFFF"/>
        </w:rPr>
        <w:t>Vendor collaboration shapes what lands in NetSuite. When submission is scattered across email threads and ad hoc uploads, intake becomes harder to standardize and easier to miss, even when OCR and extraction are strong.</w:t>
      </w:r>
      <w:r w:rsidRPr="00466086">
        <w:rPr>
          <w:rFonts w:ascii="Arial" w:hAnsi="Arial" w:cs="Arial"/>
        </w:rPr>
        <w:br/>
      </w:r>
      <w:r w:rsidRPr="00466086">
        <w:rPr>
          <w:rFonts w:ascii="Arial" w:hAnsi="Arial" w:cs="Arial"/>
        </w:rPr>
        <w:br/>
      </w:r>
      <w:r w:rsidRPr="00466086">
        <w:rPr>
          <w:rFonts w:ascii="Arial" w:hAnsi="Arial" w:cs="Arial"/>
          <w:shd w:val="clear" w:color="auto" w:fill="FFFFFF"/>
        </w:rPr>
        <w:t>These requirements focus on making the submission process consistent, so you spend less time chasing invoices and more time processing them.</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43"/>
        <w:gridCol w:w="2373"/>
        <w:gridCol w:w="3410"/>
        <w:gridCol w:w="2531"/>
      </w:tblGrid>
      <w:tr w:rsidR="00B9708E" w:rsidRPr="00466086" w14:paraId="34A428C1" w14:textId="77777777" w:rsidTr="00B81DD7">
        <w:trPr>
          <w:cnfStyle w:val="100000000000" w:firstRow="1" w:lastRow="0" w:firstColumn="0" w:lastColumn="0" w:oddVBand="0" w:evenVBand="0" w:oddHBand="0" w:evenHBand="0" w:firstRowFirstColumn="0" w:firstRowLastColumn="0" w:lastRowFirstColumn="0" w:lastRowLastColumn="0"/>
          <w:tblHeader/>
        </w:trPr>
        <w:tc>
          <w:tcPr>
            <w:tcW w:w="843" w:type="dxa"/>
          </w:tcPr>
          <w:p w14:paraId="43A4B03C" w14:textId="77777777" w:rsidR="00EC73D7" w:rsidRPr="00466086" w:rsidRDefault="00000000">
            <w:pPr>
              <w:pStyle w:val="Compact"/>
              <w:rPr>
                <w:rFonts w:ascii="Arial" w:hAnsi="Arial" w:cs="Arial"/>
              </w:rPr>
            </w:pPr>
            <w:r w:rsidRPr="00466086">
              <w:rPr>
                <w:rFonts w:ascii="Arial" w:hAnsi="Arial" w:cs="Arial"/>
              </w:rPr>
              <w:t>Ref</w:t>
            </w:r>
          </w:p>
        </w:tc>
        <w:tc>
          <w:tcPr>
            <w:tcW w:w="2373" w:type="dxa"/>
          </w:tcPr>
          <w:p w14:paraId="2009C158" w14:textId="77777777" w:rsidR="00EC73D7" w:rsidRPr="00466086" w:rsidRDefault="00000000">
            <w:pPr>
              <w:pStyle w:val="Compact"/>
              <w:rPr>
                <w:rFonts w:ascii="Arial" w:hAnsi="Arial" w:cs="Arial"/>
              </w:rPr>
            </w:pPr>
            <w:r w:rsidRPr="00466086">
              <w:rPr>
                <w:rFonts w:ascii="Arial" w:hAnsi="Arial" w:cs="Arial"/>
              </w:rPr>
              <w:t>Requirement</w:t>
            </w:r>
          </w:p>
        </w:tc>
        <w:tc>
          <w:tcPr>
            <w:tcW w:w="3410" w:type="dxa"/>
          </w:tcPr>
          <w:p w14:paraId="314B14C0" w14:textId="77777777" w:rsidR="00EC73D7" w:rsidRPr="00466086" w:rsidRDefault="00000000">
            <w:pPr>
              <w:pStyle w:val="Compact"/>
              <w:rPr>
                <w:rFonts w:ascii="Arial" w:hAnsi="Arial" w:cs="Arial"/>
              </w:rPr>
            </w:pPr>
            <w:r w:rsidRPr="00466086">
              <w:rPr>
                <w:rFonts w:ascii="Arial" w:hAnsi="Arial" w:cs="Arial"/>
              </w:rPr>
              <w:t>Considerations</w:t>
            </w:r>
          </w:p>
        </w:tc>
        <w:tc>
          <w:tcPr>
            <w:tcW w:w="2531" w:type="dxa"/>
          </w:tcPr>
          <w:p w14:paraId="2867E40A" w14:textId="77777777" w:rsidR="00EC73D7" w:rsidRPr="00466086" w:rsidRDefault="00000000">
            <w:pPr>
              <w:pStyle w:val="Compact"/>
              <w:rPr>
                <w:rFonts w:ascii="Arial" w:hAnsi="Arial" w:cs="Arial"/>
              </w:rPr>
            </w:pPr>
            <w:r w:rsidRPr="00466086">
              <w:rPr>
                <w:rFonts w:ascii="Arial" w:hAnsi="Arial" w:cs="Arial"/>
              </w:rPr>
              <w:t>Vendor response</w:t>
            </w:r>
          </w:p>
        </w:tc>
      </w:tr>
      <w:tr w:rsidR="00B9708E" w:rsidRPr="00466086" w14:paraId="7AD272EA" w14:textId="77777777" w:rsidTr="00B81DD7">
        <w:tc>
          <w:tcPr>
            <w:tcW w:w="843" w:type="dxa"/>
          </w:tcPr>
          <w:p w14:paraId="18BC34C7" w14:textId="77777777" w:rsidR="00EC73D7" w:rsidRPr="00466086" w:rsidRDefault="00000000">
            <w:pPr>
              <w:pStyle w:val="Compact"/>
              <w:rPr>
                <w:rFonts w:ascii="Arial" w:hAnsi="Arial" w:cs="Arial"/>
              </w:rPr>
            </w:pPr>
            <w:r w:rsidRPr="00466086">
              <w:rPr>
                <w:rFonts w:ascii="Arial" w:hAnsi="Arial" w:cs="Arial"/>
              </w:rPr>
              <w:t>7.1</w:t>
            </w:r>
          </w:p>
        </w:tc>
        <w:tc>
          <w:tcPr>
            <w:tcW w:w="2373" w:type="dxa"/>
          </w:tcPr>
          <w:p w14:paraId="074186C5" w14:textId="4344F30C" w:rsidR="00EC73D7" w:rsidRPr="00466086" w:rsidRDefault="00B81DD7">
            <w:pPr>
              <w:pStyle w:val="Compact"/>
              <w:rPr>
                <w:rFonts w:ascii="Arial" w:hAnsi="Arial" w:cs="Arial"/>
              </w:rPr>
            </w:pPr>
            <w:r w:rsidRPr="00466086">
              <w:rPr>
                <w:rFonts w:ascii="Arial" w:hAnsi="Arial" w:cs="Arial"/>
              </w:rPr>
              <w:t>Supports vendor self-service onboarding with required submission details</w:t>
            </w:r>
          </w:p>
        </w:tc>
        <w:tc>
          <w:tcPr>
            <w:tcW w:w="3410" w:type="dxa"/>
          </w:tcPr>
          <w:p w14:paraId="77DBEA30" w14:textId="4D2BE83A" w:rsidR="00EC73D7" w:rsidRPr="00466086" w:rsidRDefault="00B81DD7">
            <w:pPr>
              <w:pStyle w:val="Compact"/>
              <w:rPr>
                <w:rFonts w:ascii="Arial" w:hAnsi="Arial" w:cs="Arial"/>
              </w:rPr>
            </w:pPr>
            <w:r w:rsidRPr="00466086">
              <w:rPr>
                <w:rFonts w:ascii="Arial" w:hAnsi="Arial" w:cs="Arial"/>
              </w:rPr>
              <w:t>When vendors can’t self-serve, AP becomes the coordinator for onboarding and follow-up. More touch points, more manual tracking and slower intake at scale. Confirm whether the submission model supports collecting and maintaining vendor details such as remit-to addresses, payment preferences, banking details, tax forms and supporting documentation as part of onboarding.</w:t>
            </w:r>
          </w:p>
        </w:tc>
        <w:tc>
          <w:tcPr>
            <w:tcW w:w="2531" w:type="dxa"/>
          </w:tcPr>
          <w:p w14:paraId="4AB41D3C" w14:textId="77777777" w:rsidR="00EC73D7" w:rsidRPr="00466086" w:rsidRDefault="00EC73D7">
            <w:pPr>
              <w:pStyle w:val="Compact"/>
              <w:rPr>
                <w:rFonts w:ascii="Arial" w:hAnsi="Arial" w:cs="Arial"/>
              </w:rPr>
            </w:pPr>
          </w:p>
        </w:tc>
      </w:tr>
      <w:tr w:rsidR="00B9708E" w:rsidRPr="00466086" w14:paraId="193ACF40" w14:textId="77777777" w:rsidTr="00B81DD7">
        <w:tc>
          <w:tcPr>
            <w:tcW w:w="843" w:type="dxa"/>
          </w:tcPr>
          <w:p w14:paraId="768F7F54" w14:textId="77777777" w:rsidR="00EC73D7" w:rsidRPr="00466086" w:rsidRDefault="00000000">
            <w:pPr>
              <w:pStyle w:val="Compact"/>
              <w:rPr>
                <w:rFonts w:ascii="Arial" w:hAnsi="Arial" w:cs="Arial"/>
              </w:rPr>
            </w:pPr>
            <w:r w:rsidRPr="00466086">
              <w:rPr>
                <w:rFonts w:ascii="Arial" w:hAnsi="Arial" w:cs="Arial"/>
              </w:rPr>
              <w:t>7.2</w:t>
            </w:r>
          </w:p>
        </w:tc>
        <w:tc>
          <w:tcPr>
            <w:tcW w:w="2373" w:type="dxa"/>
          </w:tcPr>
          <w:p w14:paraId="7A14B153" w14:textId="3E2109BE" w:rsidR="00EC73D7" w:rsidRPr="00466086" w:rsidRDefault="00B81DD7">
            <w:pPr>
              <w:pStyle w:val="Compact"/>
              <w:rPr>
                <w:rFonts w:ascii="Arial" w:hAnsi="Arial" w:cs="Arial"/>
              </w:rPr>
            </w:pPr>
            <w:r w:rsidRPr="00466086">
              <w:rPr>
                <w:rFonts w:ascii="Arial" w:hAnsi="Arial" w:cs="Arial"/>
                <w:shd w:val="clear" w:color="auto" w:fill="FFFFFF"/>
              </w:rPr>
              <w:t>Provides a vendor portal for invoice submission</w:t>
            </w:r>
          </w:p>
        </w:tc>
        <w:tc>
          <w:tcPr>
            <w:tcW w:w="3410" w:type="dxa"/>
          </w:tcPr>
          <w:p w14:paraId="06E3A814" w14:textId="60649711" w:rsidR="00EC73D7" w:rsidRPr="00466086" w:rsidRDefault="00B81DD7">
            <w:pPr>
              <w:pStyle w:val="Compact"/>
              <w:rPr>
                <w:rFonts w:ascii="Arial" w:hAnsi="Arial" w:cs="Arial"/>
              </w:rPr>
            </w:pPr>
            <w:r w:rsidRPr="00466086">
              <w:rPr>
                <w:rFonts w:ascii="Arial" w:hAnsi="Arial" w:cs="Arial"/>
                <w:shd w:val="clear" w:color="auto" w:fill="FFFFFF"/>
              </w:rPr>
              <w:t>Without a portal, invoice submission often stays trapped in email. That drives back-and-forth, missing details and extra follow-up before a bill is ready for coding and processing.</w:t>
            </w:r>
          </w:p>
        </w:tc>
        <w:tc>
          <w:tcPr>
            <w:tcW w:w="2531" w:type="dxa"/>
          </w:tcPr>
          <w:p w14:paraId="66B3C288" w14:textId="77777777" w:rsidR="00EC73D7" w:rsidRPr="00466086" w:rsidRDefault="00EC73D7">
            <w:pPr>
              <w:pStyle w:val="Compact"/>
              <w:rPr>
                <w:rFonts w:ascii="Arial" w:hAnsi="Arial" w:cs="Arial"/>
              </w:rPr>
            </w:pPr>
          </w:p>
        </w:tc>
      </w:tr>
      <w:tr w:rsidR="00B9708E" w:rsidRPr="00466086" w14:paraId="2A697BE8" w14:textId="77777777" w:rsidTr="00B81DD7">
        <w:tc>
          <w:tcPr>
            <w:tcW w:w="843" w:type="dxa"/>
          </w:tcPr>
          <w:p w14:paraId="002D76B0" w14:textId="77777777" w:rsidR="00EC73D7" w:rsidRPr="00466086" w:rsidRDefault="00000000">
            <w:pPr>
              <w:pStyle w:val="Compact"/>
              <w:rPr>
                <w:rFonts w:ascii="Arial" w:hAnsi="Arial" w:cs="Arial"/>
              </w:rPr>
            </w:pPr>
            <w:r w:rsidRPr="00466086">
              <w:rPr>
                <w:rFonts w:ascii="Arial" w:hAnsi="Arial" w:cs="Arial"/>
              </w:rPr>
              <w:t>7.3</w:t>
            </w:r>
          </w:p>
        </w:tc>
        <w:tc>
          <w:tcPr>
            <w:tcW w:w="2373" w:type="dxa"/>
          </w:tcPr>
          <w:p w14:paraId="6B2EE665" w14:textId="38EADA16" w:rsidR="00EC73D7" w:rsidRPr="00466086" w:rsidRDefault="00B81DD7">
            <w:pPr>
              <w:pStyle w:val="Compact"/>
              <w:rPr>
                <w:rFonts w:ascii="Arial" w:hAnsi="Arial" w:cs="Arial"/>
              </w:rPr>
            </w:pPr>
            <w:r w:rsidRPr="00466086">
              <w:rPr>
                <w:rFonts w:ascii="Arial" w:hAnsi="Arial" w:cs="Arial"/>
                <w:shd w:val="clear" w:color="auto" w:fill="FFFFFF"/>
              </w:rPr>
              <w:t>Supports vendor setup and update workflows that reduce intake delays</w:t>
            </w:r>
          </w:p>
        </w:tc>
        <w:tc>
          <w:tcPr>
            <w:tcW w:w="3410" w:type="dxa"/>
          </w:tcPr>
          <w:p w14:paraId="0149B432" w14:textId="2D849CA4" w:rsidR="00EC73D7" w:rsidRPr="00466086" w:rsidRDefault="00B81DD7">
            <w:pPr>
              <w:pStyle w:val="Compact"/>
              <w:rPr>
                <w:rFonts w:ascii="Arial" w:hAnsi="Arial" w:cs="Arial"/>
              </w:rPr>
            </w:pPr>
            <w:r w:rsidRPr="00466086">
              <w:rPr>
                <w:rFonts w:ascii="Arial" w:hAnsi="Arial" w:cs="Arial"/>
                <w:shd w:val="clear" w:color="auto" w:fill="FFFFFF"/>
              </w:rPr>
              <w:t>If vendor setup stays manual, onboarding becomes a queue and invoice processing slows while your team collects missing details. Confirm what vendor data can be submitted or updated through the intake workflow, what approvals apply and what change history is recorded.</w:t>
            </w:r>
          </w:p>
        </w:tc>
        <w:tc>
          <w:tcPr>
            <w:tcW w:w="2531" w:type="dxa"/>
          </w:tcPr>
          <w:p w14:paraId="03929BA3" w14:textId="77777777" w:rsidR="00EC73D7" w:rsidRPr="00466086" w:rsidRDefault="00EC73D7">
            <w:pPr>
              <w:pStyle w:val="Compact"/>
              <w:rPr>
                <w:rFonts w:ascii="Arial" w:hAnsi="Arial" w:cs="Arial"/>
              </w:rPr>
            </w:pPr>
          </w:p>
        </w:tc>
      </w:tr>
    </w:tbl>
    <w:p w14:paraId="4FE198B9" w14:textId="72482889" w:rsidR="00EC73D7" w:rsidRPr="00466086" w:rsidRDefault="00EC73D7">
      <w:pPr>
        <w:rPr>
          <w:rFonts w:ascii="Arial" w:hAnsi="Arial" w:cs="Arial"/>
        </w:rPr>
      </w:pPr>
    </w:p>
    <w:p w14:paraId="760BED24" w14:textId="77777777" w:rsidR="00B81DD7" w:rsidRPr="00466086" w:rsidRDefault="00B81DD7">
      <w:pPr>
        <w:rPr>
          <w:rFonts w:ascii="Arial" w:hAnsi="Arial" w:cs="Arial"/>
        </w:rPr>
      </w:pPr>
    </w:p>
    <w:p w14:paraId="2E12E455" w14:textId="430436C7" w:rsidR="00B81DD7" w:rsidRPr="00466086" w:rsidRDefault="00B81DD7" w:rsidP="00B81DD7">
      <w:pPr>
        <w:pStyle w:val="Heading1"/>
        <w:rPr>
          <w:rFonts w:ascii="Arial" w:hAnsi="Arial" w:cs="Arial"/>
        </w:rPr>
      </w:pPr>
      <w:r w:rsidRPr="00466086">
        <w:rPr>
          <w:rFonts w:ascii="Arial" w:hAnsi="Arial" w:cs="Arial"/>
        </w:rPr>
        <w:lastRenderedPageBreak/>
        <w:t>Section 8: Vendor payments in NetSuite</w:t>
      </w:r>
    </w:p>
    <w:p w14:paraId="56B432B8" w14:textId="77777777" w:rsidR="00B81DD7" w:rsidRPr="00466086" w:rsidRDefault="00B81DD7" w:rsidP="000705EF">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Some AP automation platforms extend beyond capture-to-bill and into payment execution. If you want one operating model for AP, payment execution should live where the bill lives – in NetSuite – with clear visibility into what was paid, when and in what currency.</w:t>
      </w:r>
    </w:p>
    <w:p w14:paraId="5A0AAA17" w14:textId="77777777" w:rsidR="00B81DD7" w:rsidRPr="00466086" w:rsidRDefault="00B81DD7" w:rsidP="00B81DD7">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These requirements focus on keeping payment execution, FX visibility and payment history anchored in NetSuite so teams can move from invoice to payment without switching systems.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43"/>
        <w:gridCol w:w="2373"/>
        <w:gridCol w:w="3410"/>
        <w:gridCol w:w="2531"/>
      </w:tblGrid>
      <w:tr w:rsidR="00B81DD7" w:rsidRPr="00466086" w14:paraId="24CE6E5A" w14:textId="77777777" w:rsidTr="000705EF">
        <w:trPr>
          <w:cnfStyle w:val="100000000000" w:firstRow="1" w:lastRow="0" w:firstColumn="0" w:lastColumn="0" w:oddVBand="0" w:evenVBand="0" w:oddHBand="0" w:evenHBand="0" w:firstRowFirstColumn="0" w:firstRowLastColumn="0" w:lastRowFirstColumn="0" w:lastRowLastColumn="0"/>
          <w:tblHeader/>
        </w:trPr>
        <w:tc>
          <w:tcPr>
            <w:tcW w:w="843" w:type="dxa"/>
          </w:tcPr>
          <w:p w14:paraId="7A067057" w14:textId="77777777" w:rsidR="00B81DD7" w:rsidRPr="00466086" w:rsidRDefault="00B81DD7" w:rsidP="000705EF">
            <w:pPr>
              <w:pStyle w:val="Compact"/>
              <w:rPr>
                <w:rFonts w:ascii="Arial" w:hAnsi="Arial" w:cs="Arial"/>
              </w:rPr>
            </w:pPr>
            <w:r w:rsidRPr="00466086">
              <w:rPr>
                <w:rFonts w:ascii="Arial" w:hAnsi="Arial" w:cs="Arial"/>
              </w:rPr>
              <w:t>Ref</w:t>
            </w:r>
          </w:p>
        </w:tc>
        <w:tc>
          <w:tcPr>
            <w:tcW w:w="2373" w:type="dxa"/>
          </w:tcPr>
          <w:p w14:paraId="6410BFA6" w14:textId="77777777" w:rsidR="00B81DD7" w:rsidRPr="00466086" w:rsidRDefault="00B81DD7" w:rsidP="000705EF">
            <w:pPr>
              <w:pStyle w:val="Compact"/>
              <w:rPr>
                <w:rFonts w:ascii="Arial" w:hAnsi="Arial" w:cs="Arial"/>
              </w:rPr>
            </w:pPr>
            <w:r w:rsidRPr="00466086">
              <w:rPr>
                <w:rFonts w:ascii="Arial" w:hAnsi="Arial" w:cs="Arial"/>
              </w:rPr>
              <w:t>Requirement</w:t>
            </w:r>
          </w:p>
        </w:tc>
        <w:tc>
          <w:tcPr>
            <w:tcW w:w="3410" w:type="dxa"/>
          </w:tcPr>
          <w:p w14:paraId="719541DB" w14:textId="77777777" w:rsidR="00B81DD7" w:rsidRPr="00466086" w:rsidRDefault="00B81DD7" w:rsidP="000705EF">
            <w:pPr>
              <w:pStyle w:val="Compact"/>
              <w:rPr>
                <w:rFonts w:ascii="Arial" w:hAnsi="Arial" w:cs="Arial"/>
              </w:rPr>
            </w:pPr>
            <w:r w:rsidRPr="00466086">
              <w:rPr>
                <w:rFonts w:ascii="Arial" w:hAnsi="Arial" w:cs="Arial"/>
              </w:rPr>
              <w:t>Considerations</w:t>
            </w:r>
          </w:p>
        </w:tc>
        <w:tc>
          <w:tcPr>
            <w:tcW w:w="2531" w:type="dxa"/>
          </w:tcPr>
          <w:p w14:paraId="060C66BF" w14:textId="77777777" w:rsidR="00B81DD7" w:rsidRPr="00466086" w:rsidRDefault="00B81DD7" w:rsidP="000705EF">
            <w:pPr>
              <w:pStyle w:val="Compact"/>
              <w:rPr>
                <w:rFonts w:ascii="Arial" w:hAnsi="Arial" w:cs="Arial"/>
              </w:rPr>
            </w:pPr>
            <w:r w:rsidRPr="00466086">
              <w:rPr>
                <w:rFonts w:ascii="Arial" w:hAnsi="Arial" w:cs="Arial"/>
              </w:rPr>
              <w:t>Vendor response</w:t>
            </w:r>
          </w:p>
        </w:tc>
      </w:tr>
      <w:tr w:rsidR="00B81DD7" w:rsidRPr="00466086" w14:paraId="5AAAF8C3" w14:textId="77777777" w:rsidTr="000705EF">
        <w:tc>
          <w:tcPr>
            <w:tcW w:w="843" w:type="dxa"/>
          </w:tcPr>
          <w:p w14:paraId="1E6C38AE" w14:textId="4C7376AA" w:rsidR="00B81DD7" w:rsidRPr="00466086" w:rsidRDefault="00B81DD7" w:rsidP="000705EF">
            <w:pPr>
              <w:pStyle w:val="Compact"/>
              <w:rPr>
                <w:rFonts w:ascii="Arial" w:hAnsi="Arial" w:cs="Arial"/>
              </w:rPr>
            </w:pPr>
            <w:r w:rsidRPr="00466086">
              <w:rPr>
                <w:rFonts w:ascii="Arial" w:hAnsi="Arial" w:cs="Arial"/>
              </w:rPr>
              <w:t>8.1</w:t>
            </w:r>
          </w:p>
        </w:tc>
        <w:tc>
          <w:tcPr>
            <w:tcW w:w="2373" w:type="dxa"/>
          </w:tcPr>
          <w:p w14:paraId="38C737B7" w14:textId="58F4C590" w:rsidR="00B81DD7" w:rsidRPr="00466086" w:rsidRDefault="00B81DD7" w:rsidP="000705EF">
            <w:pPr>
              <w:pStyle w:val="Compact"/>
              <w:rPr>
                <w:rFonts w:ascii="Arial" w:hAnsi="Arial" w:cs="Arial"/>
              </w:rPr>
            </w:pPr>
            <w:r w:rsidRPr="00466086">
              <w:rPr>
                <w:rFonts w:ascii="Arial" w:hAnsi="Arial" w:cs="Arial"/>
                <w:kern w:val="2"/>
                <w:shd w:val="clear" w:color="auto" w:fill="FFFFFF"/>
                <w14:ligatures w14:val="standardContextual"/>
              </w:rPr>
              <w:t>Executes vendor payments directly inside NetSuite</w:t>
            </w:r>
          </w:p>
        </w:tc>
        <w:tc>
          <w:tcPr>
            <w:tcW w:w="3410" w:type="dxa"/>
          </w:tcPr>
          <w:p w14:paraId="4DB12C6A" w14:textId="7936F561" w:rsidR="00B81DD7" w:rsidRPr="00466086" w:rsidRDefault="00B81DD7" w:rsidP="00B81DD7">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 xml:space="preserve">If payment execution happens outside NetSuite, teams can end up generating payment files, uploading to a bank portal and confirming status in a second system. Confirm whether you can approve vendor bills, schedule payments and process payments in one place. </w:t>
            </w:r>
          </w:p>
        </w:tc>
        <w:tc>
          <w:tcPr>
            <w:tcW w:w="2531" w:type="dxa"/>
          </w:tcPr>
          <w:p w14:paraId="2101BC8C" w14:textId="77777777" w:rsidR="00B81DD7" w:rsidRPr="00466086" w:rsidRDefault="00B81DD7" w:rsidP="000705EF">
            <w:pPr>
              <w:pStyle w:val="Compact"/>
              <w:rPr>
                <w:rFonts w:ascii="Arial" w:hAnsi="Arial" w:cs="Arial"/>
              </w:rPr>
            </w:pPr>
          </w:p>
        </w:tc>
      </w:tr>
      <w:tr w:rsidR="00B81DD7" w:rsidRPr="00466086" w14:paraId="698D6196" w14:textId="77777777" w:rsidTr="000705EF">
        <w:tc>
          <w:tcPr>
            <w:tcW w:w="843" w:type="dxa"/>
          </w:tcPr>
          <w:p w14:paraId="6C1629A1" w14:textId="78AB9ACB" w:rsidR="00B81DD7" w:rsidRPr="00466086" w:rsidRDefault="00B81DD7" w:rsidP="000705EF">
            <w:pPr>
              <w:pStyle w:val="Compact"/>
              <w:rPr>
                <w:rFonts w:ascii="Arial" w:hAnsi="Arial" w:cs="Arial"/>
              </w:rPr>
            </w:pPr>
            <w:r w:rsidRPr="00466086">
              <w:rPr>
                <w:rFonts w:ascii="Arial" w:hAnsi="Arial" w:cs="Arial"/>
              </w:rPr>
              <w:t>8.2</w:t>
            </w:r>
          </w:p>
        </w:tc>
        <w:tc>
          <w:tcPr>
            <w:tcW w:w="2373" w:type="dxa"/>
          </w:tcPr>
          <w:p w14:paraId="2947E8B2" w14:textId="4DFFF98D" w:rsidR="00B81DD7" w:rsidRPr="00466086" w:rsidRDefault="00B81DD7" w:rsidP="000705EF">
            <w:pPr>
              <w:pStyle w:val="Compact"/>
              <w:rPr>
                <w:rFonts w:ascii="Arial" w:hAnsi="Arial" w:cs="Arial"/>
              </w:rPr>
            </w:pPr>
            <w:r w:rsidRPr="00466086">
              <w:rPr>
                <w:rFonts w:ascii="Arial" w:hAnsi="Arial" w:cs="Arial"/>
                <w:kern w:val="2"/>
                <w:shd w:val="clear" w:color="auto" w:fill="FFFFFF"/>
                <w14:ligatures w14:val="standardContextual"/>
              </w:rPr>
              <w:t>Supports domestic and cross-border vendor payments with broad country and currency coverage</w:t>
            </w:r>
          </w:p>
        </w:tc>
        <w:tc>
          <w:tcPr>
            <w:tcW w:w="3410" w:type="dxa"/>
          </w:tcPr>
          <w:p w14:paraId="46B6BB06" w14:textId="661FB772" w:rsidR="00B81DD7" w:rsidRPr="00466086" w:rsidRDefault="006177E2" w:rsidP="000705EF">
            <w:pPr>
              <w:pStyle w:val="Compact"/>
              <w:rPr>
                <w:rFonts w:ascii="Arial" w:hAnsi="Arial" w:cs="Arial"/>
              </w:rPr>
            </w:pPr>
            <w:r w:rsidRPr="00466086">
              <w:rPr>
                <w:rFonts w:ascii="Arial" w:hAnsi="Arial" w:cs="Arial"/>
                <w:kern w:val="2"/>
                <w:shd w:val="clear" w:color="auto" w:fill="FFFFFF"/>
                <w14:ligatures w14:val="standardContextual"/>
              </w:rPr>
              <w:t>Some vendors claim g</w:t>
            </w:r>
            <w:r w:rsidR="00B81DD7" w:rsidRPr="00466086">
              <w:rPr>
                <w:rFonts w:ascii="Arial" w:hAnsi="Arial" w:cs="Arial"/>
                <w:kern w:val="2"/>
                <w:shd w:val="clear" w:color="auto" w:fill="FFFFFF"/>
                <w14:ligatures w14:val="standardContextual"/>
              </w:rPr>
              <w:t xml:space="preserve">lobal coverage </w:t>
            </w:r>
            <w:r w:rsidRPr="00466086">
              <w:rPr>
                <w:rFonts w:ascii="Arial" w:hAnsi="Arial" w:cs="Arial"/>
                <w:kern w:val="2"/>
                <w:shd w:val="clear" w:color="auto" w:fill="FFFFFF"/>
                <w14:ligatures w14:val="standardContextual"/>
              </w:rPr>
              <w:t xml:space="preserve">– but actual support </w:t>
            </w:r>
            <w:r w:rsidR="00B81DD7" w:rsidRPr="00466086">
              <w:rPr>
                <w:rFonts w:ascii="Arial" w:hAnsi="Arial" w:cs="Arial"/>
                <w:kern w:val="2"/>
                <w:shd w:val="clear" w:color="auto" w:fill="FFFFFF"/>
                <w14:ligatures w14:val="standardContextual"/>
              </w:rPr>
              <w:t>varies in practice. Confirm supported countries and territories, supported currencies and any corridor or payment-type limitations. If coverage differs by entity or region, document where exceptions will require a separate process.</w:t>
            </w:r>
          </w:p>
        </w:tc>
        <w:tc>
          <w:tcPr>
            <w:tcW w:w="2531" w:type="dxa"/>
          </w:tcPr>
          <w:p w14:paraId="6B319E28" w14:textId="77777777" w:rsidR="00B81DD7" w:rsidRPr="00466086" w:rsidRDefault="00B81DD7" w:rsidP="000705EF">
            <w:pPr>
              <w:pStyle w:val="Compact"/>
              <w:rPr>
                <w:rFonts w:ascii="Arial" w:hAnsi="Arial" w:cs="Arial"/>
              </w:rPr>
            </w:pPr>
          </w:p>
        </w:tc>
      </w:tr>
      <w:tr w:rsidR="00B81DD7" w:rsidRPr="00466086" w14:paraId="44DE245A" w14:textId="77777777" w:rsidTr="000705EF">
        <w:tc>
          <w:tcPr>
            <w:tcW w:w="843" w:type="dxa"/>
          </w:tcPr>
          <w:p w14:paraId="6FE59779" w14:textId="3E5306F6" w:rsidR="00B81DD7" w:rsidRPr="00466086" w:rsidRDefault="00B81DD7" w:rsidP="000705EF">
            <w:pPr>
              <w:pStyle w:val="Compact"/>
              <w:rPr>
                <w:rFonts w:ascii="Arial" w:hAnsi="Arial" w:cs="Arial"/>
              </w:rPr>
            </w:pPr>
            <w:r w:rsidRPr="00466086">
              <w:rPr>
                <w:rFonts w:ascii="Arial" w:hAnsi="Arial" w:cs="Arial"/>
              </w:rPr>
              <w:t>8.3</w:t>
            </w:r>
          </w:p>
        </w:tc>
        <w:tc>
          <w:tcPr>
            <w:tcW w:w="2373" w:type="dxa"/>
          </w:tcPr>
          <w:p w14:paraId="55F0F0F2" w14:textId="0146FC59" w:rsidR="00B81DD7" w:rsidRPr="00466086" w:rsidRDefault="00B81DD7" w:rsidP="000705EF">
            <w:pPr>
              <w:pStyle w:val="Compact"/>
              <w:rPr>
                <w:rFonts w:ascii="Arial" w:hAnsi="Arial" w:cs="Arial"/>
              </w:rPr>
            </w:pPr>
            <w:r w:rsidRPr="00466086">
              <w:rPr>
                <w:rFonts w:ascii="Arial" w:hAnsi="Arial" w:cs="Arial"/>
                <w:kern w:val="2"/>
                <w:shd w:val="clear" w:color="auto" w:fill="FFFFFF"/>
                <w14:ligatures w14:val="standardContextual"/>
              </w:rPr>
              <w:t>Provides FX rate visibility at the point of payment execution</w:t>
            </w:r>
          </w:p>
        </w:tc>
        <w:tc>
          <w:tcPr>
            <w:tcW w:w="3410" w:type="dxa"/>
          </w:tcPr>
          <w:p w14:paraId="175854A6" w14:textId="0AC8D74E" w:rsidR="00B81DD7" w:rsidRPr="00466086" w:rsidRDefault="00B81DD7" w:rsidP="000705EF">
            <w:pPr>
              <w:pStyle w:val="Compact"/>
              <w:rPr>
                <w:rFonts w:ascii="Arial" w:hAnsi="Arial" w:cs="Arial"/>
              </w:rPr>
            </w:pPr>
            <w:r w:rsidRPr="00466086">
              <w:rPr>
                <w:rFonts w:ascii="Arial" w:hAnsi="Arial" w:cs="Arial"/>
                <w:kern w:val="2"/>
                <w:shd w:val="clear" w:color="auto" w:fill="FFFFFF"/>
                <w14:ligatures w14:val="standardContextual"/>
              </w:rPr>
              <w:t>Confirm how FX rates are shown before payment approval, when the rate is locked and what the payer sees when a rate changes between scheduling and execution.</w:t>
            </w:r>
          </w:p>
        </w:tc>
        <w:tc>
          <w:tcPr>
            <w:tcW w:w="2531" w:type="dxa"/>
          </w:tcPr>
          <w:p w14:paraId="32B42AE3" w14:textId="77777777" w:rsidR="00B81DD7" w:rsidRPr="00466086" w:rsidRDefault="00B81DD7" w:rsidP="000705EF">
            <w:pPr>
              <w:pStyle w:val="Compact"/>
              <w:rPr>
                <w:rFonts w:ascii="Arial" w:hAnsi="Arial" w:cs="Arial"/>
              </w:rPr>
            </w:pPr>
          </w:p>
        </w:tc>
      </w:tr>
      <w:tr w:rsidR="00B81DD7" w:rsidRPr="00466086" w14:paraId="480D0BE4" w14:textId="77777777" w:rsidTr="000705EF">
        <w:tc>
          <w:tcPr>
            <w:tcW w:w="843" w:type="dxa"/>
          </w:tcPr>
          <w:p w14:paraId="3C4D3C5B" w14:textId="39016178" w:rsidR="00B81DD7" w:rsidRPr="00466086" w:rsidRDefault="00B81DD7" w:rsidP="000705EF">
            <w:pPr>
              <w:pStyle w:val="Compact"/>
              <w:rPr>
                <w:rFonts w:ascii="Arial" w:hAnsi="Arial" w:cs="Arial"/>
              </w:rPr>
            </w:pPr>
            <w:r w:rsidRPr="00466086">
              <w:rPr>
                <w:rFonts w:ascii="Arial" w:hAnsi="Arial" w:cs="Arial"/>
              </w:rPr>
              <w:t>8.4</w:t>
            </w:r>
          </w:p>
        </w:tc>
        <w:tc>
          <w:tcPr>
            <w:tcW w:w="2373" w:type="dxa"/>
          </w:tcPr>
          <w:p w14:paraId="7A11388F" w14:textId="53C01DB7" w:rsidR="00B81DD7" w:rsidRPr="00466086" w:rsidRDefault="00B81DD7" w:rsidP="000705EF">
            <w:pPr>
              <w:pStyle w:val="Compact"/>
              <w:rPr>
                <w:rFonts w:ascii="Arial" w:hAnsi="Arial" w:cs="Arial"/>
                <w:shd w:val="clear" w:color="auto" w:fill="FFFFFF"/>
              </w:rPr>
            </w:pPr>
            <w:r w:rsidRPr="00466086">
              <w:rPr>
                <w:rFonts w:ascii="Arial" w:hAnsi="Arial" w:cs="Arial"/>
                <w:kern w:val="2"/>
                <w:shd w:val="clear" w:color="auto" w:fill="FFFFFF"/>
                <w14:ligatures w14:val="standardContextual"/>
              </w:rPr>
              <w:t>Records payment activity in NetSuite for traceability</w:t>
            </w:r>
          </w:p>
        </w:tc>
        <w:tc>
          <w:tcPr>
            <w:tcW w:w="3410" w:type="dxa"/>
          </w:tcPr>
          <w:p w14:paraId="01B3CD6C" w14:textId="21AE0D02" w:rsidR="00B81DD7" w:rsidRPr="00466086" w:rsidRDefault="00B81DD7" w:rsidP="000705EF">
            <w:pPr>
              <w:pStyle w:val="Compact"/>
              <w:rPr>
                <w:rFonts w:ascii="Arial" w:hAnsi="Arial" w:cs="Arial"/>
                <w:shd w:val="clear" w:color="auto" w:fill="FFFFFF"/>
              </w:rPr>
            </w:pPr>
            <w:r w:rsidRPr="00466086">
              <w:rPr>
                <w:rFonts w:ascii="Arial" w:hAnsi="Arial" w:cs="Arial"/>
                <w:kern w:val="2"/>
                <w:shd w:val="clear" w:color="auto" w:fill="FFFFFF"/>
                <w14:ligatures w14:val="standardContextual"/>
              </w:rPr>
              <w:t xml:space="preserve">Visibility should not depend on syncing from a separate payment system. Confirm what approval history and </w:t>
            </w:r>
            <w:r w:rsidRPr="00466086">
              <w:rPr>
                <w:rFonts w:ascii="Arial" w:hAnsi="Arial" w:cs="Arial"/>
                <w:kern w:val="2"/>
                <w:shd w:val="clear" w:color="auto" w:fill="FFFFFF"/>
                <w14:ligatures w14:val="standardContextual"/>
              </w:rPr>
              <w:lastRenderedPageBreak/>
              <w:t>payment details are recorded in NetSuite and where they appear on the transaction record. If settlement or payment confirmation is referenced, confirm what details are written back to NetSuite and where they appear for close review.</w:t>
            </w:r>
          </w:p>
        </w:tc>
        <w:tc>
          <w:tcPr>
            <w:tcW w:w="2531" w:type="dxa"/>
          </w:tcPr>
          <w:p w14:paraId="69DC6B4B" w14:textId="77777777" w:rsidR="00B81DD7" w:rsidRPr="00466086" w:rsidRDefault="00B81DD7" w:rsidP="000705EF">
            <w:pPr>
              <w:pStyle w:val="Compact"/>
              <w:rPr>
                <w:rFonts w:ascii="Arial" w:hAnsi="Arial" w:cs="Arial"/>
              </w:rPr>
            </w:pPr>
          </w:p>
        </w:tc>
      </w:tr>
      <w:tr w:rsidR="00B81DD7" w:rsidRPr="00466086" w14:paraId="382250BA" w14:textId="77777777" w:rsidTr="000705EF">
        <w:tc>
          <w:tcPr>
            <w:tcW w:w="843" w:type="dxa"/>
          </w:tcPr>
          <w:p w14:paraId="1ADFAED3" w14:textId="2800828C" w:rsidR="00B81DD7" w:rsidRPr="00466086" w:rsidRDefault="00B81DD7" w:rsidP="000705EF">
            <w:pPr>
              <w:pStyle w:val="Compact"/>
              <w:rPr>
                <w:rFonts w:ascii="Arial" w:hAnsi="Arial" w:cs="Arial"/>
              </w:rPr>
            </w:pPr>
            <w:r w:rsidRPr="00466086">
              <w:rPr>
                <w:rFonts w:ascii="Arial" w:hAnsi="Arial" w:cs="Arial"/>
              </w:rPr>
              <w:t>8.5</w:t>
            </w:r>
          </w:p>
        </w:tc>
        <w:tc>
          <w:tcPr>
            <w:tcW w:w="2373" w:type="dxa"/>
          </w:tcPr>
          <w:p w14:paraId="12428FB3" w14:textId="7381F674" w:rsidR="00B81DD7" w:rsidRPr="00466086" w:rsidRDefault="00B81DD7" w:rsidP="000705EF">
            <w:pPr>
              <w:pStyle w:val="Compact"/>
              <w:rPr>
                <w:rFonts w:ascii="Arial" w:hAnsi="Arial" w:cs="Arial"/>
                <w:shd w:val="clear" w:color="auto" w:fill="FFFFFF"/>
              </w:rPr>
            </w:pPr>
            <w:r w:rsidRPr="00466086">
              <w:rPr>
                <w:rFonts w:ascii="Arial" w:hAnsi="Arial" w:cs="Arial"/>
                <w:kern w:val="2"/>
                <w:shd w:val="clear" w:color="auto" w:fill="FFFFFF"/>
                <w14:ligatures w14:val="standardContextual"/>
              </w:rPr>
              <w:t>Supports required payment methods per vendor and region, including ACH and wire</w:t>
            </w:r>
          </w:p>
        </w:tc>
        <w:tc>
          <w:tcPr>
            <w:tcW w:w="3410" w:type="dxa"/>
          </w:tcPr>
          <w:p w14:paraId="1E8F7E9A" w14:textId="1FCC900D" w:rsidR="00B81DD7" w:rsidRPr="00466086" w:rsidRDefault="006177E2" w:rsidP="00B81DD7">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Global payments can still mean limited payment methods or limited local clearing coverage. If key payment types are missing, you end up running two payment processes. Confirm supported payment methods by country and currency and confirm any destination restrictions that change what you can send.</w:t>
            </w:r>
          </w:p>
        </w:tc>
        <w:tc>
          <w:tcPr>
            <w:tcW w:w="2531" w:type="dxa"/>
          </w:tcPr>
          <w:p w14:paraId="01F892BF" w14:textId="77777777" w:rsidR="00B81DD7" w:rsidRPr="00466086" w:rsidRDefault="00B81DD7" w:rsidP="000705EF">
            <w:pPr>
              <w:pStyle w:val="Compact"/>
              <w:rPr>
                <w:rFonts w:ascii="Arial" w:hAnsi="Arial" w:cs="Arial"/>
              </w:rPr>
            </w:pPr>
          </w:p>
        </w:tc>
      </w:tr>
      <w:tr w:rsidR="00B81DD7" w:rsidRPr="00466086" w14:paraId="058C929E" w14:textId="77777777" w:rsidTr="000705EF">
        <w:tc>
          <w:tcPr>
            <w:tcW w:w="843" w:type="dxa"/>
          </w:tcPr>
          <w:p w14:paraId="70621101" w14:textId="2D720B3B" w:rsidR="00B81DD7" w:rsidRPr="00466086" w:rsidRDefault="00B81DD7" w:rsidP="000705EF">
            <w:pPr>
              <w:pStyle w:val="Compact"/>
              <w:rPr>
                <w:rFonts w:ascii="Arial" w:hAnsi="Arial" w:cs="Arial"/>
              </w:rPr>
            </w:pPr>
            <w:r w:rsidRPr="00466086">
              <w:rPr>
                <w:rFonts w:ascii="Arial" w:hAnsi="Arial" w:cs="Arial"/>
              </w:rPr>
              <w:t>8.6</w:t>
            </w:r>
          </w:p>
        </w:tc>
        <w:tc>
          <w:tcPr>
            <w:tcW w:w="2373" w:type="dxa"/>
          </w:tcPr>
          <w:p w14:paraId="7D335715" w14:textId="1DA7A086" w:rsidR="00B81DD7" w:rsidRPr="00466086" w:rsidRDefault="00B81DD7" w:rsidP="000705EF">
            <w:pPr>
              <w:pStyle w:val="Compact"/>
              <w:rPr>
                <w:rFonts w:ascii="Arial" w:hAnsi="Arial" w:cs="Arial"/>
                <w:shd w:val="clear" w:color="auto" w:fill="FFFFFF"/>
              </w:rPr>
            </w:pPr>
            <w:r w:rsidRPr="00466086">
              <w:rPr>
                <w:rFonts w:ascii="Arial" w:hAnsi="Arial" w:cs="Arial"/>
                <w:kern w:val="2"/>
                <w:shd w:val="clear" w:color="auto" w:fill="FFFFFF"/>
                <w14:ligatures w14:val="standardContextual"/>
              </w:rPr>
              <w:t>Clarifies how FX conversion and settlement are handled for cross-border payments</w:t>
            </w:r>
          </w:p>
        </w:tc>
        <w:tc>
          <w:tcPr>
            <w:tcW w:w="3410" w:type="dxa"/>
          </w:tcPr>
          <w:p w14:paraId="35A0CD6C" w14:textId="2B2E80B4" w:rsidR="00B81DD7" w:rsidRPr="00466086" w:rsidRDefault="00B81DD7" w:rsidP="00B81DD7">
            <w:pPr>
              <w:pStyle w:val="NormalWeb"/>
              <w:rPr>
                <w:rFonts w:ascii="Arial" w:eastAsiaTheme="minorHAnsi" w:hAnsi="Arial" w:cs="Arial"/>
                <w:kern w:val="2"/>
                <w:shd w:val="clear" w:color="auto" w:fill="FFFFFF"/>
                <w14:ligatures w14:val="standardContextual"/>
              </w:rPr>
            </w:pPr>
            <w:r w:rsidRPr="00466086">
              <w:rPr>
                <w:rFonts w:ascii="Arial" w:eastAsiaTheme="minorHAnsi" w:hAnsi="Arial" w:cs="Arial"/>
                <w:kern w:val="2"/>
                <w:shd w:val="clear" w:color="auto" w:fill="FFFFFF"/>
                <w14:ligatures w14:val="standardContextual"/>
              </w:rPr>
              <w:t>Confirm how settlement amounts are calculated, what gets recorded back on the NetSuite payment and bill records after settlement and how fees or spreads are represented in NetSuite reporting.</w:t>
            </w:r>
          </w:p>
        </w:tc>
        <w:tc>
          <w:tcPr>
            <w:tcW w:w="2531" w:type="dxa"/>
          </w:tcPr>
          <w:p w14:paraId="74F56765" w14:textId="77777777" w:rsidR="00B81DD7" w:rsidRPr="00466086" w:rsidRDefault="00B81DD7" w:rsidP="000705EF">
            <w:pPr>
              <w:pStyle w:val="Compact"/>
              <w:rPr>
                <w:rFonts w:ascii="Arial" w:hAnsi="Arial" w:cs="Arial"/>
              </w:rPr>
            </w:pPr>
          </w:p>
        </w:tc>
      </w:tr>
    </w:tbl>
    <w:p w14:paraId="2ACCE527" w14:textId="77777777" w:rsidR="00B81DD7" w:rsidRPr="00466086" w:rsidRDefault="00B81DD7">
      <w:pPr>
        <w:rPr>
          <w:rFonts w:ascii="Arial" w:hAnsi="Arial" w:cs="Arial"/>
        </w:rPr>
      </w:pPr>
    </w:p>
    <w:p w14:paraId="5CF43A4B" w14:textId="72E908F0" w:rsidR="00E968C6" w:rsidRPr="00466086" w:rsidRDefault="00E968C6" w:rsidP="00E968C6">
      <w:pPr>
        <w:pStyle w:val="Heading1"/>
        <w:rPr>
          <w:rFonts w:ascii="Arial" w:hAnsi="Arial" w:cs="Arial"/>
        </w:rPr>
      </w:pPr>
      <w:r w:rsidRPr="00466086">
        <w:rPr>
          <w:rFonts w:ascii="Arial" w:hAnsi="Arial" w:cs="Arial"/>
        </w:rPr>
        <w:t>Section 9: Solution pricing and scaling economics</w:t>
      </w:r>
    </w:p>
    <w:p w14:paraId="17215EEB" w14:textId="41BDE478" w:rsidR="00E968C6" w:rsidRPr="00466086" w:rsidRDefault="00E968C6" w:rsidP="00E968C6">
      <w:pPr>
        <w:pStyle w:val="NormalWeb"/>
        <w:rPr>
          <w:rFonts w:ascii="Arial" w:eastAsiaTheme="minorHAnsi" w:hAnsi="Arial" w:cs="Arial"/>
          <w:kern w:val="2"/>
          <w:shd w:val="clear" w:color="auto" w:fill="FFFFFF"/>
          <w14:ligatures w14:val="standardContextual"/>
        </w:rPr>
      </w:pPr>
      <w:r w:rsidRPr="00466086">
        <w:rPr>
          <w:rFonts w:ascii="Arial" w:hAnsi="Arial" w:cs="Arial"/>
          <w:shd w:val="clear" w:color="auto" w:fill="FFFFFF"/>
        </w:rPr>
        <w:t>A solution’s pricing model affects whether AP automation remains worth it as your invoice volume and complexity grow. You want a pricing structure you can explain, budget for and live with when the business changes – not one that shifts cost into add-ons, new tiers or long commitments.</w:t>
      </w:r>
    </w:p>
    <w:tbl>
      <w:tblPr>
        <w:tblStyle w:val="Table"/>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43"/>
        <w:gridCol w:w="2373"/>
        <w:gridCol w:w="3410"/>
        <w:gridCol w:w="2531"/>
      </w:tblGrid>
      <w:tr w:rsidR="00E968C6" w:rsidRPr="00466086" w14:paraId="47EC19C4" w14:textId="77777777" w:rsidTr="000705EF">
        <w:trPr>
          <w:cnfStyle w:val="100000000000" w:firstRow="1" w:lastRow="0" w:firstColumn="0" w:lastColumn="0" w:oddVBand="0" w:evenVBand="0" w:oddHBand="0" w:evenHBand="0" w:firstRowFirstColumn="0" w:firstRowLastColumn="0" w:lastRowFirstColumn="0" w:lastRowLastColumn="0"/>
          <w:tblHeader/>
        </w:trPr>
        <w:tc>
          <w:tcPr>
            <w:tcW w:w="843" w:type="dxa"/>
          </w:tcPr>
          <w:p w14:paraId="76430BF9" w14:textId="77777777" w:rsidR="00E968C6" w:rsidRPr="00466086" w:rsidRDefault="00E968C6" w:rsidP="000705EF">
            <w:pPr>
              <w:pStyle w:val="Compact"/>
              <w:rPr>
                <w:rFonts w:ascii="Arial" w:hAnsi="Arial" w:cs="Arial"/>
              </w:rPr>
            </w:pPr>
            <w:r w:rsidRPr="00466086">
              <w:rPr>
                <w:rFonts w:ascii="Arial" w:hAnsi="Arial" w:cs="Arial"/>
              </w:rPr>
              <w:t>Ref</w:t>
            </w:r>
          </w:p>
        </w:tc>
        <w:tc>
          <w:tcPr>
            <w:tcW w:w="2373" w:type="dxa"/>
          </w:tcPr>
          <w:p w14:paraId="052F4EEA" w14:textId="77777777" w:rsidR="00E968C6" w:rsidRPr="00466086" w:rsidRDefault="00E968C6" w:rsidP="000705EF">
            <w:pPr>
              <w:pStyle w:val="Compact"/>
              <w:rPr>
                <w:rFonts w:ascii="Arial" w:hAnsi="Arial" w:cs="Arial"/>
              </w:rPr>
            </w:pPr>
            <w:r w:rsidRPr="00466086">
              <w:rPr>
                <w:rFonts w:ascii="Arial" w:hAnsi="Arial" w:cs="Arial"/>
              </w:rPr>
              <w:t>Requirement</w:t>
            </w:r>
          </w:p>
        </w:tc>
        <w:tc>
          <w:tcPr>
            <w:tcW w:w="3410" w:type="dxa"/>
          </w:tcPr>
          <w:p w14:paraId="02F31970" w14:textId="77777777" w:rsidR="00E968C6" w:rsidRPr="00466086" w:rsidRDefault="00E968C6" w:rsidP="000705EF">
            <w:pPr>
              <w:pStyle w:val="Compact"/>
              <w:rPr>
                <w:rFonts w:ascii="Arial" w:hAnsi="Arial" w:cs="Arial"/>
              </w:rPr>
            </w:pPr>
            <w:r w:rsidRPr="00466086">
              <w:rPr>
                <w:rFonts w:ascii="Arial" w:hAnsi="Arial" w:cs="Arial"/>
              </w:rPr>
              <w:t>Considerations</w:t>
            </w:r>
          </w:p>
        </w:tc>
        <w:tc>
          <w:tcPr>
            <w:tcW w:w="2531" w:type="dxa"/>
          </w:tcPr>
          <w:p w14:paraId="43239A88" w14:textId="77777777" w:rsidR="00E968C6" w:rsidRPr="00466086" w:rsidRDefault="00E968C6" w:rsidP="000705EF">
            <w:pPr>
              <w:pStyle w:val="Compact"/>
              <w:rPr>
                <w:rFonts w:ascii="Arial" w:hAnsi="Arial" w:cs="Arial"/>
              </w:rPr>
            </w:pPr>
            <w:r w:rsidRPr="00466086">
              <w:rPr>
                <w:rFonts w:ascii="Arial" w:hAnsi="Arial" w:cs="Arial"/>
              </w:rPr>
              <w:t>Vendor response</w:t>
            </w:r>
          </w:p>
        </w:tc>
      </w:tr>
      <w:tr w:rsidR="00E968C6" w:rsidRPr="00466086" w14:paraId="0F146EF0" w14:textId="77777777" w:rsidTr="000705EF">
        <w:tc>
          <w:tcPr>
            <w:tcW w:w="843" w:type="dxa"/>
          </w:tcPr>
          <w:p w14:paraId="47A55430" w14:textId="72CB4AF8" w:rsidR="00E968C6" w:rsidRPr="00466086" w:rsidRDefault="00E968C6" w:rsidP="000705EF">
            <w:pPr>
              <w:pStyle w:val="Compact"/>
              <w:rPr>
                <w:rFonts w:ascii="Arial" w:hAnsi="Arial" w:cs="Arial"/>
              </w:rPr>
            </w:pPr>
            <w:r w:rsidRPr="00466086">
              <w:rPr>
                <w:rFonts w:ascii="Arial" w:hAnsi="Arial" w:cs="Arial"/>
              </w:rPr>
              <w:t>9.1</w:t>
            </w:r>
          </w:p>
        </w:tc>
        <w:tc>
          <w:tcPr>
            <w:tcW w:w="2373" w:type="dxa"/>
          </w:tcPr>
          <w:p w14:paraId="2C9B8311" w14:textId="7CF9CE14" w:rsidR="00E968C6" w:rsidRPr="00466086" w:rsidRDefault="00E968C6" w:rsidP="000705EF">
            <w:pPr>
              <w:pStyle w:val="Compact"/>
              <w:rPr>
                <w:rFonts w:ascii="Arial" w:hAnsi="Arial" w:cs="Arial"/>
              </w:rPr>
            </w:pPr>
            <w:r w:rsidRPr="00466086">
              <w:rPr>
                <w:rFonts w:ascii="Arial" w:hAnsi="Arial" w:cs="Arial"/>
                <w:shd w:val="clear" w:color="auto" w:fill="FFFFFF"/>
              </w:rPr>
              <w:t>Uses a clear billing unit for bill capture volume and defines what counts</w:t>
            </w:r>
          </w:p>
        </w:tc>
        <w:tc>
          <w:tcPr>
            <w:tcW w:w="3410" w:type="dxa"/>
          </w:tcPr>
          <w:p w14:paraId="64FFDD8B" w14:textId="0A6D9A70" w:rsidR="00E968C6" w:rsidRPr="00466086" w:rsidRDefault="00E968C6" w:rsidP="000705EF">
            <w:pPr>
              <w:pStyle w:val="NormalWeb"/>
              <w:rPr>
                <w:rFonts w:ascii="Arial" w:eastAsiaTheme="minorHAnsi" w:hAnsi="Arial" w:cs="Arial"/>
                <w:kern w:val="2"/>
                <w:shd w:val="clear" w:color="auto" w:fill="FFFFFF"/>
                <w14:ligatures w14:val="standardContextual"/>
              </w:rPr>
            </w:pPr>
            <w:r w:rsidRPr="00466086">
              <w:rPr>
                <w:rFonts w:ascii="Arial" w:hAnsi="Arial" w:cs="Arial"/>
                <w:shd w:val="clear" w:color="auto" w:fill="FFFFFF"/>
              </w:rPr>
              <w:t xml:space="preserve">Define the billing unit in plain terms, such as per invoice, per PDF scan, per page or per month. If different document types are counted </w:t>
            </w:r>
            <w:r w:rsidRPr="00466086">
              <w:rPr>
                <w:rFonts w:ascii="Arial" w:hAnsi="Arial" w:cs="Arial"/>
                <w:shd w:val="clear" w:color="auto" w:fill="FFFFFF"/>
              </w:rPr>
              <w:lastRenderedPageBreak/>
              <w:t>differently, or if add-ons change the definition, you can’t forecast spend reliably or compare options on an apples-to-apples basis.</w:t>
            </w:r>
          </w:p>
        </w:tc>
        <w:tc>
          <w:tcPr>
            <w:tcW w:w="2531" w:type="dxa"/>
          </w:tcPr>
          <w:p w14:paraId="46E30A71" w14:textId="77777777" w:rsidR="00E968C6" w:rsidRPr="00466086" w:rsidRDefault="00E968C6" w:rsidP="000705EF">
            <w:pPr>
              <w:pStyle w:val="Compact"/>
              <w:rPr>
                <w:rFonts w:ascii="Arial" w:hAnsi="Arial" w:cs="Arial"/>
              </w:rPr>
            </w:pPr>
          </w:p>
        </w:tc>
      </w:tr>
      <w:tr w:rsidR="00E968C6" w:rsidRPr="00466086" w14:paraId="224C7708" w14:textId="77777777" w:rsidTr="000705EF">
        <w:tc>
          <w:tcPr>
            <w:tcW w:w="843" w:type="dxa"/>
          </w:tcPr>
          <w:p w14:paraId="1DF0B785" w14:textId="5B56B6BB" w:rsidR="00E968C6" w:rsidRPr="00466086" w:rsidRDefault="00E968C6" w:rsidP="000705EF">
            <w:pPr>
              <w:pStyle w:val="Compact"/>
              <w:rPr>
                <w:rFonts w:ascii="Arial" w:hAnsi="Arial" w:cs="Arial"/>
              </w:rPr>
            </w:pPr>
            <w:r w:rsidRPr="00466086">
              <w:rPr>
                <w:rFonts w:ascii="Arial" w:hAnsi="Arial" w:cs="Arial"/>
              </w:rPr>
              <w:t>9.2</w:t>
            </w:r>
          </w:p>
        </w:tc>
        <w:tc>
          <w:tcPr>
            <w:tcW w:w="2373" w:type="dxa"/>
          </w:tcPr>
          <w:p w14:paraId="36BD23FC" w14:textId="774CE6E9" w:rsidR="00E968C6" w:rsidRPr="00466086" w:rsidRDefault="00E968C6" w:rsidP="000705EF">
            <w:pPr>
              <w:pStyle w:val="Compact"/>
              <w:rPr>
                <w:rFonts w:ascii="Arial" w:hAnsi="Arial" w:cs="Arial"/>
              </w:rPr>
            </w:pPr>
            <w:r w:rsidRPr="00466086">
              <w:rPr>
                <w:rFonts w:ascii="Arial" w:hAnsi="Arial" w:cs="Arial"/>
                <w:shd w:val="clear" w:color="auto" w:fill="FFFFFF"/>
              </w:rPr>
              <w:t>Discloses total cost components with clear inclusions and exclusions</w:t>
            </w:r>
          </w:p>
        </w:tc>
        <w:tc>
          <w:tcPr>
            <w:tcW w:w="3410" w:type="dxa"/>
          </w:tcPr>
          <w:p w14:paraId="111A5D01" w14:textId="7C6FBDFB" w:rsidR="00E968C6" w:rsidRPr="00466086" w:rsidRDefault="00E968C6" w:rsidP="000705EF">
            <w:pPr>
              <w:pStyle w:val="Compact"/>
              <w:rPr>
                <w:rFonts w:ascii="Arial" w:hAnsi="Arial" w:cs="Arial"/>
              </w:rPr>
            </w:pPr>
            <w:r w:rsidRPr="00466086">
              <w:rPr>
                <w:rFonts w:ascii="Arial" w:hAnsi="Arial" w:cs="Arial"/>
                <w:shd w:val="clear" w:color="auto" w:fill="FFFFFF"/>
              </w:rPr>
              <w:t>Pricing can include platform fees, implementation fees, services and add-ons. If those pieces are unclear, you cannot compare total cost of ownership or set expectations internally.</w:t>
            </w:r>
          </w:p>
        </w:tc>
        <w:tc>
          <w:tcPr>
            <w:tcW w:w="2531" w:type="dxa"/>
          </w:tcPr>
          <w:p w14:paraId="3B6EBCC4" w14:textId="77777777" w:rsidR="00E968C6" w:rsidRPr="00466086" w:rsidRDefault="00E968C6" w:rsidP="000705EF">
            <w:pPr>
              <w:pStyle w:val="Compact"/>
              <w:rPr>
                <w:rFonts w:ascii="Arial" w:hAnsi="Arial" w:cs="Arial"/>
              </w:rPr>
            </w:pPr>
          </w:p>
        </w:tc>
      </w:tr>
      <w:tr w:rsidR="00E968C6" w:rsidRPr="00466086" w14:paraId="25AE54B0" w14:textId="77777777" w:rsidTr="000705EF">
        <w:tc>
          <w:tcPr>
            <w:tcW w:w="843" w:type="dxa"/>
          </w:tcPr>
          <w:p w14:paraId="6A7F40D9" w14:textId="13EBB46D" w:rsidR="00E968C6" w:rsidRPr="00466086" w:rsidRDefault="00E968C6" w:rsidP="000705EF">
            <w:pPr>
              <w:pStyle w:val="Compact"/>
              <w:rPr>
                <w:rFonts w:ascii="Arial" w:hAnsi="Arial" w:cs="Arial"/>
              </w:rPr>
            </w:pPr>
            <w:r w:rsidRPr="00466086">
              <w:rPr>
                <w:rFonts w:ascii="Arial" w:hAnsi="Arial" w:cs="Arial"/>
              </w:rPr>
              <w:t>9.3</w:t>
            </w:r>
          </w:p>
        </w:tc>
        <w:tc>
          <w:tcPr>
            <w:tcW w:w="2373" w:type="dxa"/>
          </w:tcPr>
          <w:p w14:paraId="2EE7C7F5" w14:textId="70B65867" w:rsidR="00E968C6" w:rsidRPr="00466086" w:rsidRDefault="00E968C6" w:rsidP="000705EF">
            <w:pPr>
              <w:pStyle w:val="Compact"/>
              <w:rPr>
                <w:rFonts w:ascii="Arial" w:hAnsi="Arial" w:cs="Arial"/>
              </w:rPr>
            </w:pPr>
            <w:r w:rsidRPr="00466086">
              <w:rPr>
                <w:rFonts w:ascii="Arial" w:hAnsi="Arial" w:cs="Arial"/>
                <w:shd w:val="clear" w:color="auto" w:fill="FFFFFF"/>
              </w:rPr>
              <w:t>Makes entity and subsidiary cost drivers explicit</w:t>
            </w:r>
          </w:p>
        </w:tc>
        <w:tc>
          <w:tcPr>
            <w:tcW w:w="3410" w:type="dxa"/>
          </w:tcPr>
          <w:p w14:paraId="0CEED6E7" w14:textId="0604A154" w:rsidR="00E968C6" w:rsidRPr="00466086" w:rsidRDefault="00E968C6" w:rsidP="000705EF">
            <w:pPr>
              <w:pStyle w:val="Compact"/>
              <w:rPr>
                <w:rFonts w:ascii="Arial" w:hAnsi="Arial" w:cs="Arial"/>
              </w:rPr>
            </w:pPr>
            <w:r w:rsidRPr="00466086">
              <w:rPr>
                <w:rFonts w:ascii="Arial" w:hAnsi="Arial" w:cs="Arial"/>
                <w:shd w:val="clear" w:color="auto" w:fill="FFFFFF"/>
              </w:rPr>
              <w:t>Multi-entity NetSuite environments can change cost quickly when fees apply per entity or per business unit. Clarity up front prevents surprises as you expand.</w:t>
            </w:r>
          </w:p>
        </w:tc>
        <w:tc>
          <w:tcPr>
            <w:tcW w:w="2531" w:type="dxa"/>
          </w:tcPr>
          <w:p w14:paraId="41B707AD" w14:textId="77777777" w:rsidR="00E968C6" w:rsidRPr="00466086" w:rsidRDefault="00E968C6" w:rsidP="000705EF">
            <w:pPr>
              <w:pStyle w:val="Compact"/>
              <w:rPr>
                <w:rFonts w:ascii="Arial" w:hAnsi="Arial" w:cs="Arial"/>
              </w:rPr>
            </w:pPr>
          </w:p>
        </w:tc>
      </w:tr>
      <w:tr w:rsidR="00E968C6" w:rsidRPr="00466086" w14:paraId="49554933" w14:textId="77777777" w:rsidTr="000705EF">
        <w:tc>
          <w:tcPr>
            <w:tcW w:w="843" w:type="dxa"/>
          </w:tcPr>
          <w:p w14:paraId="2BF39970" w14:textId="39AC6F24" w:rsidR="00E968C6" w:rsidRPr="00466086" w:rsidRDefault="00E968C6" w:rsidP="000705EF">
            <w:pPr>
              <w:pStyle w:val="Compact"/>
              <w:rPr>
                <w:rFonts w:ascii="Arial" w:hAnsi="Arial" w:cs="Arial"/>
              </w:rPr>
            </w:pPr>
            <w:r w:rsidRPr="00466086">
              <w:rPr>
                <w:rFonts w:ascii="Arial" w:hAnsi="Arial" w:cs="Arial"/>
              </w:rPr>
              <w:t>9.4</w:t>
            </w:r>
          </w:p>
        </w:tc>
        <w:tc>
          <w:tcPr>
            <w:tcW w:w="2373" w:type="dxa"/>
          </w:tcPr>
          <w:p w14:paraId="3B522BB0" w14:textId="7CD54ED4" w:rsidR="00E968C6" w:rsidRPr="00466086" w:rsidRDefault="00E968C6" w:rsidP="000705EF">
            <w:pPr>
              <w:pStyle w:val="Compact"/>
              <w:rPr>
                <w:rFonts w:ascii="Arial" w:hAnsi="Arial" w:cs="Arial"/>
                <w:shd w:val="clear" w:color="auto" w:fill="FFFFFF"/>
              </w:rPr>
            </w:pPr>
            <w:r w:rsidRPr="00466086">
              <w:rPr>
                <w:rFonts w:ascii="Arial" w:hAnsi="Arial" w:cs="Arial"/>
                <w:shd w:val="clear" w:color="auto" w:fill="FFFFFF"/>
              </w:rPr>
              <w:t>Clarifies term commitments, tier rules and what triggers pricing changes</w:t>
            </w:r>
          </w:p>
        </w:tc>
        <w:tc>
          <w:tcPr>
            <w:tcW w:w="3410" w:type="dxa"/>
          </w:tcPr>
          <w:p w14:paraId="5A62DC26" w14:textId="1C0D90D5" w:rsidR="00E968C6" w:rsidRPr="00466086" w:rsidRDefault="00E968C6" w:rsidP="000705EF">
            <w:pPr>
              <w:pStyle w:val="Compact"/>
              <w:rPr>
                <w:rFonts w:ascii="Arial" w:hAnsi="Arial" w:cs="Arial"/>
                <w:shd w:val="clear" w:color="auto" w:fill="FFFFFF"/>
              </w:rPr>
            </w:pPr>
            <w:r w:rsidRPr="00466086">
              <w:rPr>
                <w:rFonts w:ascii="Arial" w:hAnsi="Arial" w:cs="Arial"/>
                <w:shd w:val="clear" w:color="auto" w:fill="FFFFFF"/>
              </w:rPr>
              <w:t>Commitments and thresholds shape flexibility later. If the model changes when volume shifts, invoice mix changes or subsidiaries are added, you want those rules documented before rollout.</w:t>
            </w:r>
          </w:p>
        </w:tc>
        <w:tc>
          <w:tcPr>
            <w:tcW w:w="2531" w:type="dxa"/>
          </w:tcPr>
          <w:p w14:paraId="1DA47626" w14:textId="77777777" w:rsidR="00E968C6" w:rsidRPr="00466086" w:rsidRDefault="00E968C6" w:rsidP="000705EF">
            <w:pPr>
              <w:pStyle w:val="Compact"/>
              <w:rPr>
                <w:rFonts w:ascii="Arial" w:hAnsi="Arial" w:cs="Arial"/>
              </w:rPr>
            </w:pPr>
          </w:p>
        </w:tc>
      </w:tr>
      <w:tr w:rsidR="00E968C6" w:rsidRPr="00466086" w14:paraId="3935A424" w14:textId="77777777" w:rsidTr="000705EF">
        <w:tc>
          <w:tcPr>
            <w:tcW w:w="843" w:type="dxa"/>
          </w:tcPr>
          <w:p w14:paraId="67E6089C" w14:textId="0D71B503" w:rsidR="00E968C6" w:rsidRPr="00466086" w:rsidRDefault="00E968C6" w:rsidP="000705EF">
            <w:pPr>
              <w:pStyle w:val="Compact"/>
              <w:rPr>
                <w:rFonts w:ascii="Arial" w:hAnsi="Arial" w:cs="Arial"/>
              </w:rPr>
            </w:pPr>
            <w:r w:rsidRPr="00466086">
              <w:rPr>
                <w:rFonts w:ascii="Arial" w:hAnsi="Arial" w:cs="Arial"/>
              </w:rPr>
              <w:t>9.5</w:t>
            </w:r>
          </w:p>
        </w:tc>
        <w:tc>
          <w:tcPr>
            <w:tcW w:w="2373" w:type="dxa"/>
          </w:tcPr>
          <w:p w14:paraId="7EE535C4" w14:textId="5F3A3B8D" w:rsidR="00E968C6" w:rsidRPr="00466086" w:rsidRDefault="00E968C6" w:rsidP="000705EF">
            <w:pPr>
              <w:pStyle w:val="Compact"/>
              <w:rPr>
                <w:rFonts w:ascii="Arial" w:hAnsi="Arial" w:cs="Arial"/>
                <w:shd w:val="clear" w:color="auto" w:fill="FFFFFF"/>
              </w:rPr>
            </w:pPr>
            <w:r w:rsidRPr="00466086">
              <w:rPr>
                <w:rFonts w:ascii="Arial" w:hAnsi="Arial" w:cs="Arial"/>
              </w:rPr>
              <w:t>Clarifies external collaborator access rules and related pricing definitions</w:t>
            </w:r>
          </w:p>
        </w:tc>
        <w:tc>
          <w:tcPr>
            <w:tcW w:w="3410" w:type="dxa"/>
          </w:tcPr>
          <w:p w14:paraId="3A4C8C07" w14:textId="3200F9D0" w:rsidR="00E968C6" w:rsidRPr="00466086" w:rsidRDefault="00E968C6" w:rsidP="000705EF">
            <w:pPr>
              <w:pStyle w:val="NormalWeb"/>
              <w:rPr>
                <w:rFonts w:ascii="Arial" w:eastAsiaTheme="minorHAnsi" w:hAnsi="Arial" w:cs="Arial"/>
                <w:kern w:val="2"/>
                <w:shd w:val="clear" w:color="auto" w:fill="FFFFFF"/>
                <w14:ligatures w14:val="standardContextual"/>
              </w:rPr>
            </w:pPr>
            <w:r w:rsidRPr="00466086">
              <w:rPr>
                <w:rFonts w:ascii="Arial" w:hAnsi="Arial" w:cs="Arial"/>
              </w:rPr>
              <w:t>Pricing can hinge on how external users are defined. If limits are tier-based or definitions are vague, costs can jump as vendor participation grows. Confirm how external access is defined, what happens when you exceed limits and whether read-only access is treated differently.</w:t>
            </w:r>
          </w:p>
        </w:tc>
        <w:tc>
          <w:tcPr>
            <w:tcW w:w="2531" w:type="dxa"/>
          </w:tcPr>
          <w:p w14:paraId="25A4AAB5" w14:textId="77777777" w:rsidR="00E968C6" w:rsidRPr="00466086" w:rsidRDefault="00E968C6" w:rsidP="000705EF">
            <w:pPr>
              <w:pStyle w:val="Compact"/>
              <w:rPr>
                <w:rFonts w:ascii="Arial" w:hAnsi="Arial" w:cs="Arial"/>
              </w:rPr>
            </w:pPr>
          </w:p>
        </w:tc>
      </w:tr>
      <w:tr w:rsidR="00E968C6" w:rsidRPr="00466086" w14:paraId="5E267302" w14:textId="77777777" w:rsidTr="000705EF">
        <w:tc>
          <w:tcPr>
            <w:tcW w:w="843" w:type="dxa"/>
          </w:tcPr>
          <w:p w14:paraId="59E6D05E" w14:textId="6F332ECF" w:rsidR="00E968C6" w:rsidRPr="00466086" w:rsidRDefault="00E968C6" w:rsidP="000705EF">
            <w:pPr>
              <w:pStyle w:val="Compact"/>
              <w:rPr>
                <w:rFonts w:ascii="Arial" w:hAnsi="Arial" w:cs="Arial"/>
              </w:rPr>
            </w:pPr>
            <w:r w:rsidRPr="00466086">
              <w:rPr>
                <w:rFonts w:ascii="Arial" w:hAnsi="Arial" w:cs="Arial"/>
              </w:rPr>
              <w:t>9.6</w:t>
            </w:r>
          </w:p>
        </w:tc>
        <w:tc>
          <w:tcPr>
            <w:tcW w:w="2373" w:type="dxa"/>
          </w:tcPr>
          <w:p w14:paraId="06D49772" w14:textId="35D19231" w:rsidR="00E968C6" w:rsidRPr="00466086" w:rsidRDefault="00E968C6" w:rsidP="000705EF">
            <w:pPr>
              <w:pStyle w:val="Compact"/>
              <w:rPr>
                <w:rFonts w:ascii="Arial" w:hAnsi="Arial" w:cs="Arial"/>
                <w:shd w:val="clear" w:color="auto" w:fill="FFFFFF"/>
              </w:rPr>
            </w:pPr>
            <w:r w:rsidRPr="00466086">
              <w:rPr>
                <w:rFonts w:ascii="Arial" w:hAnsi="Arial" w:cs="Arial"/>
                <w:shd w:val="clear" w:color="auto" w:fill="FFFFFF"/>
              </w:rPr>
              <w:t>Discloses support model terms, included hours and rollover rules</w:t>
            </w:r>
          </w:p>
        </w:tc>
        <w:tc>
          <w:tcPr>
            <w:tcW w:w="3410" w:type="dxa"/>
          </w:tcPr>
          <w:p w14:paraId="24C2961B" w14:textId="5E3637BD" w:rsidR="00E968C6" w:rsidRPr="00466086" w:rsidRDefault="00E968C6" w:rsidP="000705EF">
            <w:pPr>
              <w:pStyle w:val="NormalWeb"/>
              <w:rPr>
                <w:rFonts w:ascii="Arial" w:eastAsiaTheme="minorHAnsi" w:hAnsi="Arial" w:cs="Arial"/>
                <w:kern w:val="2"/>
                <w:shd w:val="clear" w:color="auto" w:fill="FFFFFF"/>
                <w14:ligatures w14:val="standardContextual"/>
              </w:rPr>
            </w:pPr>
            <w:r w:rsidRPr="00466086">
              <w:rPr>
                <w:rFonts w:ascii="Arial" w:hAnsi="Arial" w:cs="Arial"/>
              </w:rPr>
              <w:t xml:space="preserve">If support is packaged as monthly hours or tiered entitlements, confirm what is included, what triggers overages, whether unused hours roll and response expectations for intake </w:t>
            </w:r>
            <w:r w:rsidRPr="00466086">
              <w:rPr>
                <w:rFonts w:ascii="Arial" w:hAnsi="Arial" w:cs="Arial"/>
              </w:rPr>
              <w:lastRenderedPageBreak/>
              <w:t>failures and processing issues during peak volume.</w:t>
            </w:r>
          </w:p>
        </w:tc>
        <w:tc>
          <w:tcPr>
            <w:tcW w:w="2531" w:type="dxa"/>
          </w:tcPr>
          <w:p w14:paraId="58054B4B" w14:textId="77777777" w:rsidR="00E968C6" w:rsidRPr="00466086" w:rsidRDefault="00E968C6" w:rsidP="000705EF">
            <w:pPr>
              <w:pStyle w:val="Compact"/>
              <w:rPr>
                <w:rFonts w:ascii="Arial" w:hAnsi="Arial" w:cs="Arial"/>
              </w:rPr>
            </w:pPr>
          </w:p>
        </w:tc>
      </w:tr>
    </w:tbl>
    <w:p w14:paraId="6C573DAB" w14:textId="77777777" w:rsidR="00E968C6" w:rsidRPr="00466086" w:rsidRDefault="00E968C6">
      <w:pPr>
        <w:rPr>
          <w:rFonts w:ascii="Arial" w:hAnsi="Arial" w:cs="Arial"/>
        </w:rPr>
      </w:pPr>
    </w:p>
    <w:p w14:paraId="1CACBF96" w14:textId="77777777" w:rsidR="00EC73D7" w:rsidRPr="00466086" w:rsidRDefault="00000000">
      <w:pPr>
        <w:pStyle w:val="Heading2"/>
        <w:rPr>
          <w:rFonts w:ascii="Arial" w:hAnsi="Arial" w:cs="Arial"/>
        </w:rPr>
      </w:pPr>
      <w:bookmarkStart w:id="14" w:name="appendix"/>
      <w:r w:rsidRPr="00466086">
        <w:rPr>
          <w:rFonts w:ascii="Arial" w:hAnsi="Arial" w:cs="Arial"/>
        </w:rPr>
        <w:t>Appendix</w:t>
      </w:r>
    </w:p>
    <w:p w14:paraId="2A3E90D2" w14:textId="77777777" w:rsidR="00EC73D7" w:rsidRPr="00466086" w:rsidRDefault="00000000">
      <w:pPr>
        <w:pStyle w:val="FirstParagraph"/>
        <w:rPr>
          <w:rFonts w:ascii="Arial" w:hAnsi="Arial" w:cs="Arial"/>
        </w:rPr>
      </w:pPr>
      <w:r w:rsidRPr="00466086">
        <w:rPr>
          <w:rFonts w:ascii="Arial" w:hAnsi="Arial" w:cs="Arial"/>
        </w:rPr>
        <w:t>Use this space to add any organization</w:t>
      </w:r>
      <w:r w:rsidRPr="00466086">
        <w:rPr>
          <w:rFonts w:ascii="Cambria Math" w:hAnsi="Cambria Math" w:cs="Cambria Math"/>
        </w:rPr>
        <w:t>‑</w:t>
      </w:r>
      <w:r w:rsidRPr="00466086">
        <w:rPr>
          <w:rFonts w:ascii="Arial" w:hAnsi="Arial" w:cs="Arial"/>
        </w:rPr>
        <w:t>specific scenarios, exceptions or measurement criteria that vendors should address in their responses.</w:t>
      </w:r>
      <w:bookmarkEnd w:id="13"/>
      <w:bookmarkEnd w:id="14"/>
    </w:p>
    <w:sectPr w:rsidR="00EC73D7" w:rsidRPr="00466086" w:rsidSect="00B9708E">
      <w:footnotePr>
        <w:numRestart w:val="eachSect"/>
      </w:foot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dd Cabral" w:date="2026-01-19T14:17:00Z" w:initials="TC">
    <w:p w14:paraId="60C232A1" w14:textId="77777777" w:rsidR="00870E1D" w:rsidRDefault="0070337F" w:rsidP="00870E1D">
      <w:r>
        <w:rPr>
          <w:rStyle w:val="CommentReference"/>
        </w:rPr>
        <w:annotationRef/>
      </w:r>
      <w:r w:rsidR="00870E1D">
        <w:rPr>
          <w:sz w:val="20"/>
          <w:szCs w:val="20"/>
        </w:rPr>
        <w:t>I aligned this top title with the format of the inside title of the Billing BRD. In the Billing BRD, we used a different title for the landing page than this inside title. To stay consistent with that approach, we can make the landing page title: Template: Business Requirements Document for AP automation &amp; ERP systems. I just wanted to document that in case you'd like to discuss/revise.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232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8C91EF" w16cex:dateUtc="2026-01-19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232A1" w16cid:durableId="1B8C91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521F3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25A26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A8A7376"/>
    <w:multiLevelType w:val="hybridMultilevel"/>
    <w:tmpl w:val="744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5AE9"/>
    <w:multiLevelType w:val="multilevel"/>
    <w:tmpl w:val="DC10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43499">
    <w:abstractNumId w:val="0"/>
  </w:num>
  <w:num w:numId="2" w16cid:durableId="1139765768">
    <w:abstractNumId w:val="1"/>
  </w:num>
  <w:num w:numId="3" w16cid:durableId="1061640125">
    <w:abstractNumId w:val="1"/>
  </w:num>
  <w:num w:numId="4" w16cid:durableId="136730906">
    <w:abstractNumId w:val="2"/>
  </w:num>
  <w:num w:numId="5" w16cid:durableId="20208085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dd Cabral">
    <w15:presenceInfo w15:providerId="AD" w15:userId="S::Todd@cabralcommunications.com::86eb5fc0-0872-4e7d-82e7-d70b75923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D7"/>
    <w:rsid w:val="0003219D"/>
    <w:rsid w:val="000347CA"/>
    <w:rsid w:val="000543E0"/>
    <w:rsid w:val="001F11E8"/>
    <w:rsid w:val="0045054B"/>
    <w:rsid w:val="00466086"/>
    <w:rsid w:val="004A7F74"/>
    <w:rsid w:val="004D18C8"/>
    <w:rsid w:val="004E7CA8"/>
    <w:rsid w:val="005411DD"/>
    <w:rsid w:val="006177E2"/>
    <w:rsid w:val="006C07F8"/>
    <w:rsid w:val="0070337F"/>
    <w:rsid w:val="00741D90"/>
    <w:rsid w:val="00784406"/>
    <w:rsid w:val="00835036"/>
    <w:rsid w:val="00870E1D"/>
    <w:rsid w:val="00953CEA"/>
    <w:rsid w:val="009672CE"/>
    <w:rsid w:val="00975D43"/>
    <w:rsid w:val="009D0E82"/>
    <w:rsid w:val="009F1AFF"/>
    <w:rsid w:val="00AC6F16"/>
    <w:rsid w:val="00B442B8"/>
    <w:rsid w:val="00B553E6"/>
    <w:rsid w:val="00B7364B"/>
    <w:rsid w:val="00B81DD7"/>
    <w:rsid w:val="00B9708E"/>
    <w:rsid w:val="00C56167"/>
    <w:rsid w:val="00DE1097"/>
    <w:rsid w:val="00E8506A"/>
    <w:rsid w:val="00E968C6"/>
    <w:rsid w:val="00EC73D7"/>
    <w:rsid w:val="00E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5018"/>
  <w15:docId w15:val="{94072E99-815D-E149-8A27-BB311B94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rsid w:val="0070337F"/>
    <w:rPr>
      <w:sz w:val="16"/>
      <w:szCs w:val="16"/>
    </w:rPr>
  </w:style>
  <w:style w:type="paragraph" w:styleId="CommentText">
    <w:name w:val="annotation text"/>
    <w:basedOn w:val="Normal"/>
    <w:link w:val="CommentTextChar"/>
    <w:rsid w:val="0070337F"/>
    <w:rPr>
      <w:sz w:val="20"/>
      <w:szCs w:val="20"/>
    </w:rPr>
  </w:style>
  <w:style w:type="character" w:customStyle="1" w:styleId="CommentTextChar">
    <w:name w:val="Comment Text Char"/>
    <w:basedOn w:val="DefaultParagraphFont"/>
    <w:link w:val="CommentText"/>
    <w:rsid w:val="0070337F"/>
    <w:rPr>
      <w:sz w:val="20"/>
      <w:szCs w:val="20"/>
    </w:rPr>
  </w:style>
  <w:style w:type="paragraph" w:styleId="CommentSubject">
    <w:name w:val="annotation subject"/>
    <w:basedOn w:val="CommentText"/>
    <w:next w:val="CommentText"/>
    <w:link w:val="CommentSubjectChar"/>
    <w:rsid w:val="0070337F"/>
    <w:rPr>
      <w:b/>
      <w:bCs/>
    </w:rPr>
  </w:style>
  <w:style w:type="character" w:customStyle="1" w:styleId="CommentSubjectChar">
    <w:name w:val="Comment Subject Char"/>
    <w:basedOn w:val="CommentTextChar"/>
    <w:link w:val="CommentSubject"/>
    <w:rsid w:val="0070337F"/>
    <w:rPr>
      <w:b/>
      <w:bCs/>
      <w:sz w:val="20"/>
      <w:szCs w:val="20"/>
    </w:rPr>
  </w:style>
  <w:style w:type="paragraph" w:styleId="NormalWeb">
    <w:name w:val="Normal (Web)"/>
    <w:basedOn w:val="Normal"/>
    <w:uiPriority w:val="99"/>
    <w:unhideWhenUsed/>
    <w:rsid w:val="00EE78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Cabral</dc:creator>
  <cp:keywords/>
  <cp:lastModifiedBy>Tabatha Buessing</cp:lastModifiedBy>
  <cp:revision>11</cp:revision>
  <cp:lastPrinted>2026-01-08T15:46:00Z</cp:lastPrinted>
  <dcterms:created xsi:type="dcterms:W3CDTF">2026-01-19T19:06:00Z</dcterms:created>
  <dcterms:modified xsi:type="dcterms:W3CDTF">2026-01-23T16:01:00Z</dcterms:modified>
</cp:coreProperties>
</file>